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7" w:type="pct"/>
        <w:jc w:val="center"/>
        <w:tblCellMar>
          <w:top w:w="15" w:type="dxa"/>
          <w:left w:w="15" w:type="dxa"/>
          <w:bottom w:w="15" w:type="dxa"/>
          <w:right w:w="15" w:type="dxa"/>
        </w:tblCellMar>
        <w:tblLook w:val="04A0" w:firstRow="1" w:lastRow="0" w:firstColumn="1" w:lastColumn="0" w:noHBand="0" w:noVBand="1"/>
      </w:tblPr>
      <w:tblGrid>
        <w:gridCol w:w="1802"/>
        <w:gridCol w:w="1361"/>
        <w:gridCol w:w="1361"/>
        <w:gridCol w:w="6864"/>
        <w:gridCol w:w="3406"/>
      </w:tblGrid>
      <w:tr w:rsidR="00016F46" w:rsidRPr="007F4EDF" w14:paraId="243342FB" w14:textId="77777777" w:rsidTr="00631B36">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7777777" w:rsidR="002F6FA2" w:rsidRPr="007F4EDF" w:rsidRDefault="002F6FA2" w:rsidP="00851898">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 xml:space="preserve">SINTEZA </w:t>
            </w:r>
          </w:p>
          <w:p w14:paraId="0E9776BF" w14:textId="2A794BEA" w:rsidR="00F20A78" w:rsidRPr="007F4EDF" w:rsidRDefault="002F6FA2" w:rsidP="00851898">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obiec</w:t>
            </w:r>
            <w:r w:rsidR="00EC059A" w:rsidRPr="007F4EDF">
              <w:rPr>
                <w:rFonts w:ascii="Times New Roman" w:eastAsia="Times New Roman" w:hAnsi="Times New Roman" w:cs="Times New Roman"/>
                <w:b/>
                <w:bCs/>
                <w:lang w:val="ro-RO" w:eastAsia="ru-RU"/>
              </w:rPr>
              <w:t>ț</w:t>
            </w:r>
            <w:r w:rsidRPr="007F4EDF">
              <w:rPr>
                <w:rFonts w:ascii="Times New Roman" w:eastAsia="Times New Roman" w:hAnsi="Times New Roman" w:cs="Times New Roman"/>
                <w:b/>
                <w:bCs/>
                <w:lang w:val="ro-RO" w:eastAsia="ru-RU"/>
              </w:rPr>
              <w:t xml:space="preserve">iilor </w:t>
            </w:r>
            <w:r w:rsidR="00EC059A" w:rsidRPr="007F4EDF">
              <w:rPr>
                <w:rFonts w:ascii="Times New Roman" w:eastAsia="Times New Roman" w:hAnsi="Times New Roman" w:cs="Times New Roman"/>
                <w:b/>
                <w:bCs/>
                <w:lang w:val="ro-RO" w:eastAsia="ru-RU"/>
              </w:rPr>
              <w:t>ș</w:t>
            </w:r>
            <w:r w:rsidRPr="007F4EDF">
              <w:rPr>
                <w:rFonts w:ascii="Times New Roman" w:eastAsia="Times New Roman" w:hAnsi="Times New Roman" w:cs="Times New Roman"/>
                <w:b/>
                <w:bCs/>
                <w:lang w:val="ro-RO" w:eastAsia="ru-RU"/>
              </w:rPr>
              <w:t>i propunerilor/recomandărilor</w:t>
            </w:r>
            <w:r w:rsidR="004567EB" w:rsidRPr="007F4EDF">
              <w:rPr>
                <w:rFonts w:ascii="Times New Roman" w:eastAsia="Times New Roman" w:hAnsi="Times New Roman" w:cs="Times New Roman"/>
                <w:b/>
                <w:bCs/>
                <w:lang w:val="ro-RO" w:eastAsia="ru-RU"/>
              </w:rPr>
              <w:t xml:space="preserve"> </w:t>
            </w:r>
            <w:r w:rsidRPr="007F4EDF">
              <w:rPr>
                <w:rFonts w:ascii="Times New Roman" w:eastAsia="Times New Roman" w:hAnsi="Times New Roman" w:cs="Times New Roman"/>
                <w:b/>
                <w:bCs/>
                <w:lang w:val="ro-RO" w:eastAsia="ru-RU"/>
              </w:rPr>
              <w:t xml:space="preserve">la proiectul </w:t>
            </w:r>
          </w:p>
          <w:p w14:paraId="4CF67B68" w14:textId="77777777" w:rsidR="00B732F1" w:rsidRPr="007F4EDF" w:rsidRDefault="00F472EB" w:rsidP="00B732F1">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 xml:space="preserve">de hotărâre </w:t>
            </w:r>
            <w:r w:rsidR="00B732F1" w:rsidRPr="007F4EDF">
              <w:rPr>
                <w:rFonts w:ascii="Times New Roman" w:eastAsia="Times New Roman" w:hAnsi="Times New Roman" w:cs="Times New Roman"/>
                <w:b/>
                <w:bCs/>
                <w:lang w:val="ro-RO" w:eastAsia="ru-RU"/>
              </w:rPr>
              <w:t xml:space="preserve">cu privire la stabilirea mecanismului de normalizare a prețurilor pe piața energiei electrice de echilibrare și pentru decontarea dezechilibrelor </w:t>
            </w:r>
          </w:p>
          <w:p w14:paraId="00CBC438" w14:textId="4899BD0D" w:rsidR="002F6FA2" w:rsidRPr="007F4EDF" w:rsidRDefault="002F6FA2" w:rsidP="004567EB">
            <w:pPr>
              <w:spacing w:after="0" w:line="240" w:lineRule="auto"/>
              <w:jc w:val="center"/>
              <w:rPr>
                <w:rFonts w:ascii="Times New Roman" w:eastAsia="Times New Roman" w:hAnsi="Times New Roman" w:cs="Times New Roman"/>
                <w:lang w:val="ro-RO" w:eastAsia="ru-RU"/>
              </w:rPr>
            </w:pPr>
            <w:r w:rsidRPr="007F4EDF">
              <w:rPr>
                <w:rFonts w:ascii="Times New Roman" w:eastAsia="Times New Roman" w:hAnsi="Times New Roman" w:cs="Times New Roman"/>
                <w:lang w:val="ro-RO" w:eastAsia="ru-RU"/>
              </w:rPr>
              <w:t> </w:t>
            </w:r>
            <w:r w:rsidRPr="007F4EDF">
              <w:rPr>
                <w:rFonts w:ascii="Times New Roman" w:eastAsia="Times New Roman" w:hAnsi="Times New Roman" w:cs="Times New Roman"/>
                <w:i/>
                <w:iCs/>
                <w:lang w:val="ro-RO" w:eastAsia="ru-RU"/>
              </w:rPr>
              <w:t>(denumirea proiectului)</w:t>
            </w:r>
            <w:r w:rsidRPr="007F4EDF">
              <w:rPr>
                <w:rFonts w:ascii="Times New Roman" w:eastAsia="Times New Roman" w:hAnsi="Times New Roman" w:cs="Times New Roman"/>
                <w:lang w:val="ro-RO" w:eastAsia="ru-RU"/>
              </w:rPr>
              <w:t> </w:t>
            </w:r>
          </w:p>
        </w:tc>
      </w:tr>
      <w:tr w:rsidR="0086721E" w:rsidRPr="007F4EDF" w14:paraId="7AA07C7E" w14:textId="77777777" w:rsidTr="000F79EB">
        <w:trPr>
          <w:jc w:val="center"/>
        </w:trPr>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7F4EDF" w:rsidRDefault="002F6FA2" w:rsidP="00F5220C">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Con</w:t>
            </w:r>
            <w:r w:rsidR="00EC059A" w:rsidRPr="007F4EDF">
              <w:rPr>
                <w:rFonts w:ascii="Times New Roman" w:eastAsia="Times New Roman" w:hAnsi="Times New Roman" w:cs="Times New Roman"/>
                <w:b/>
                <w:bCs/>
                <w:lang w:val="ro-RO" w:eastAsia="ru-RU"/>
              </w:rPr>
              <w:t>ț</w:t>
            </w:r>
            <w:r w:rsidRPr="007F4EDF">
              <w:rPr>
                <w:rFonts w:ascii="Times New Roman" w:eastAsia="Times New Roman" w:hAnsi="Times New Roman" w:cs="Times New Roman"/>
                <w:b/>
                <w:bCs/>
                <w:lang w:val="ro-RO" w:eastAsia="ru-RU"/>
              </w:rPr>
              <w:t>inutul</w:t>
            </w:r>
            <w:r w:rsidR="00F5220C" w:rsidRPr="007F4EDF">
              <w:rPr>
                <w:rFonts w:ascii="Times New Roman" w:eastAsia="Times New Roman" w:hAnsi="Times New Roman" w:cs="Times New Roman"/>
                <w:b/>
                <w:bCs/>
                <w:lang w:val="ro-RO" w:eastAsia="ru-RU"/>
              </w:rPr>
              <w:t xml:space="preserve">               </w:t>
            </w:r>
            <w:r w:rsidRPr="007F4EDF">
              <w:rPr>
                <w:rFonts w:ascii="Times New Roman" w:eastAsia="Times New Roman" w:hAnsi="Times New Roman" w:cs="Times New Roman"/>
                <w:b/>
                <w:bCs/>
                <w:lang w:val="ro-RO" w:eastAsia="ru-RU"/>
              </w:rPr>
              <w:t xml:space="preserve"> articolelor/ punctelor din proiectul prezentat spre avizare </w:t>
            </w:r>
            <w:r w:rsidR="00EC059A" w:rsidRPr="007F4EDF">
              <w:rPr>
                <w:rFonts w:ascii="Times New Roman" w:eastAsia="Times New Roman" w:hAnsi="Times New Roman" w:cs="Times New Roman"/>
                <w:b/>
                <w:bCs/>
                <w:lang w:val="ro-RO" w:eastAsia="ru-RU"/>
              </w:rPr>
              <w:t>ș</w:t>
            </w:r>
            <w:r w:rsidRPr="007F4EDF">
              <w:rPr>
                <w:rFonts w:ascii="Times New Roman" w:eastAsia="Times New Roman" w:hAnsi="Times New Roman" w:cs="Times New Roman"/>
                <w:b/>
                <w:bCs/>
                <w:lang w:val="ro-RO" w:eastAsia="ru-RU"/>
              </w:rPr>
              <w:t>i coordonare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7F4EDF" w:rsidRDefault="002F6FA2" w:rsidP="00851898">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Participantul la avizare (expertizare)/ consultare publică</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7F4EDF" w:rsidRDefault="002F6FA2" w:rsidP="00F5220C">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Nr. obiec</w:t>
            </w:r>
            <w:r w:rsidR="00EC059A" w:rsidRPr="007F4EDF">
              <w:rPr>
                <w:rFonts w:ascii="Times New Roman" w:eastAsia="Times New Roman" w:hAnsi="Times New Roman" w:cs="Times New Roman"/>
                <w:b/>
                <w:bCs/>
                <w:lang w:val="ro-RO" w:eastAsia="ru-RU"/>
              </w:rPr>
              <w:t>ț</w:t>
            </w:r>
            <w:r w:rsidRPr="007F4EDF">
              <w:rPr>
                <w:rFonts w:ascii="Times New Roman" w:eastAsia="Times New Roman" w:hAnsi="Times New Roman" w:cs="Times New Roman"/>
                <w:b/>
                <w:bCs/>
                <w:lang w:val="ro-RO" w:eastAsia="ru-RU"/>
              </w:rPr>
              <w:t>iei/ propunerii/ recomandării</w:t>
            </w:r>
          </w:p>
        </w:tc>
        <w:tc>
          <w:tcPr>
            <w:tcW w:w="2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7F4EDF" w:rsidRDefault="002F6FA2" w:rsidP="00F5220C">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Con</w:t>
            </w:r>
            <w:r w:rsidR="00EC059A" w:rsidRPr="007F4EDF">
              <w:rPr>
                <w:rFonts w:ascii="Times New Roman" w:eastAsia="Times New Roman" w:hAnsi="Times New Roman" w:cs="Times New Roman"/>
                <w:b/>
                <w:bCs/>
                <w:lang w:val="ro-RO" w:eastAsia="ru-RU"/>
              </w:rPr>
              <w:t>ț</w:t>
            </w:r>
            <w:r w:rsidRPr="007F4EDF">
              <w:rPr>
                <w:rFonts w:ascii="Times New Roman" w:eastAsia="Times New Roman" w:hAnsi="Times New Roman" w:cs="Times New Roman"/>
                <w:b/>
                <w:bCs/>
                <w:lang w:val="ro-RO" w:eastAsia="ru-RU"/>
              </w:rPr>
              <w:t>inutul obiec</w:t>
            </w:r>
            <w:r w:rsidR="00EC059A" w:rsidRPr="007F4EDF">
              <w:rPr>
                <w:rFonts w:ascii="Times New Roman" w:eastAsia="Times New Roman" w:hAnsi="Times New Roman" w:cs="Times New Roman"/>
                <w:b/>
                <w:bCs/>
                <w:lang w:val="ro-RO" w:eastAsia="ru-RU"/>
              </w:rPr>
              <w:t>ț</w:t>
            </w:r>
            <w:r w:rsidRPr="007F4EDF">
              <w:rPr>
                <w:rFonts w:ascii="Times New Roman" w:eastAsia="Times New Roman" w:hAnsi="Times New Roman" w:cs="Times New Roman"/>
                <w:b/>
                <w:bCs/>
                <w:lang w:val="ro-RO" w:eastAsia="ru-RU"/>
              </w:rPr>
              <w:t>iei/ propunerii/ recomandării</w:t>
            </w:r>
          </w:p>
        </w:tc>
        <w:tc>
          <w:tcPr>
            <w:tcW w:w="11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7F4EDF" w:rsidRDefault="002F6FA2" w:rsidP="00F5220C">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Argumentarea autorului proiectului</w:t>
            </w:r>
          </w:p>
        </w:tc>
      </w:tr>
      <w:tr w:rsidR="00016F46" w:rsidRPr="00013A44" w14:paraId="15D864D1"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1FB7BC" w14:textId="3D187FA6" w:rsidR="00A454CC" w:rsidRPr="007F4EDF" w:rsidRDefault="00560A97" w:rsidP="00560A97">
            <w:pPr>
              <w:spacing w:after="0" w:line="240" w:lineRule="auto"/>
              <w:jc w:val="center"/>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 xml:space="preserve">S.A. </w:t>
            </w:r>
            <w:r w:rsidR="0075645F" w:rsidRPr="007F4EDF">
              <w:rPr>
                <w:rFonts w:ascii="Times New Roman" w:eastAsia="Times New Roman" w:hAnsi="Times New Roman" w:cs="Times New Roman"/>
                <w:b/>
                <w:bCs/>
                <w:lang w:val="ro-RO" w:eastAsia="ru-RU"/>
              </w:rPr>
              <w:t>„</w:t>
            </w:r>
            <w:r w:rsidR="004C6F07" w:rsidRPr="007F4EDF">
              <w:rPr>
                <w:rFonts w:ascii="Times New Roman" w:eastAsia="Times New Roman" w:hAnsi="Times New Roman" w:cs="Times New Roman"/>
                <w:b/>
                <w:bCs/>
                <w:lang w:val="ro-RO" w:eastAsia="ru-RU"/>
              </w:rPr>
              <w:t>Energocom</w:t>
            </w:r>
            <w:r w:rsidR="0075645F" w:rsidRPr="007F4EDF">
              <w:rPr>
                <w:rFonts w:ascii="Times New Roman" w:eastAsia="Times New Roman" w:hAnsi="Times New Roman" w:cs="Times New Roman"/>
                <w:b/>
                <w:bCs/>
                <w:lang w:val="ro-RO" w:eastAsia="ru-RU"/>
              </w:rPr>
              <w:t>” (aviz nr.</w:t>
            </w:r>
            <w:r w:rsidR="009361C6" w:rsidRPr="007F4EDF">
              <w:rPr>
                <w:rFonts w:ascii="Times New Roman" w:eastAsia="Times New Roman" w:hAnsi="Times New Roman" w:cs="Times New Roman"/>
                <w:b/>
                <w:bCs/>
                <w:lang w:val="ro-RO" w:eastAsia="ru-RU"/>
              </w:rPr>
              <w:t xml:space="preserve"> </w:t>
            </w:r>
            <w:r w:rsidR="004C6F07" w:rsidRPr="007F4EDF">
              <w:rPr>
                <w:rFonts w:ascii="Times New Roman" w:eastAsia="Times New Roman" w:hAnsi="Times New Roman" w:cs="Times New Roman"/>
                <w:b/>
                <w:bCs/>
                <w:lang w:val="ro-RO" w:eastAsia="ru-RU"/>
              </w:rPr>
              <w:t xml:space="preserve">1/10/07 - </w:t>
            </w:r>
            <w:r w:rsidR="00B732F1" w:rsidRPr="007F4EDF">
              <w:rPr>
                <w:rFonts w:ascii="Times New Roman" w:eastAsia="Times New Roman" w:hAnsi="Times New Roman" w:cs="Times New Roman"/>
                <w:b/>
                <w:bCs/>
                <w:lang w:val="ro-RO" w:eastAsia="ru-RU"/>
              </w:rPr>
              <w:t>2364</w:t>
            </w:r>
            <w:r w:rsidR="0075645F" w:rsidRPr="007F4EDF">
              <w:rPr>
                <w:rFonts w:ascii="Times New Roman" w:eastAsia="Times New Roman" w:hAnsi="Times New Roman" w:cs="Times New Roman"/>
                <w:b/>
                <w:bCs/>
                <w:lang w:val="ro-RO" w:eastAsia="ru-RU"/>
              </w:rPr>
              <w:t xml:space="preserve"> din </w:t>
            </w:r>
            <w:r w:rsidR="004C6F07" w:rsidRPr="007F4EDF">
              <w:rPr>
                <w:rFonts w:ascii="Times New Roman" w:eastAsia="Times New Roman" w:hAnsi="Times New Roman" w:cs="Times New Roman"/>
                <w:b/>
                <w:bCs/>
                <w:lang w:val="ro-RO" w:eastAsia="ru-RU"/>
              </w:rPr>
              <w:t>0</w:t>
            </w:r>
            <w:r w:rsidR="00B732F1" w:rsidRPr="007F4EDF">
              <w:rPr>
                <w:rFonts w:ascii="Times New Roman" w:eastAsia="Times New Roman" w:hAnsi="Times New Roman" w:cs="Times New Roman"/>
                <w:b/>
                <w:bCs/>
                <w:lang w:val="ro-RO" w:eastAsia="ru-RU"/>
              </w:rPr>
              <w:t>4</w:t>
            </w:r>
            <w:r w:rsidR="0075645F" w:rsidRPr="007F4EDF">
              <w:rPr>
                <w:rFonts w:ascii="Times New Roman" w:eastAsia="Times New Roman" w:hAnsi="Times New Roman" w:cs="Times New Roman"/>
                <w:b/>
                <w:bCs/>
                <w:lang w:val="ro-RO" w:eastAsia="ru-RU"/>
              </w:rPr>
              <w:t>.0</w:t>
            </w:r>
            <w:r w:rsidR="00B732F1" w:rsidRPr="007F4EDF">
              <w:rPr>
                <w:rFonts w:ascii="Times New Roman" w:eastAsia="Times New Roman" w:hAnsi="Times New Roman" w:cs="Times New Roman"/>
                <w:b/>
                <w:bCs/>
                <w:lang w:val="ro-RO" w:eastAsia="ru-RU"/>
              </w:rPr>
              <w:t>6</w:t>
            </w:r>
            <w:r w:rsidR="0075645F" w:rsidRPr="007F4EDF">
              <w:rPr>
                <w:rFonts w:ascii="Times New Roman" w:eastAsia="Times New Roman" w:hAnsi="Times New Roman" w:cs="Times New Roman"/>
                <w:b/>
                <w:bCs/>
                <w:lang w:val="ro-RO" w:eastAsia="ru-RU"/>
              </w:rPr>
              <w:t xml:space="preserve">.2026) </w:t>
            </w:r>
          </w:p>
        </w:tc>
      </w:tr>
      <w:tr w:rsidR="00016F46" w:rsidRPr="00013A44" w14:paraId="4F0C8A6F"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2A2CD" w14:textId="3CB4C6FC" w:rsidR="0075645F" w:rsidRPr="007F4EDF" w:rsidRDefault="00560A97" w:rsidP="004C6F07">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S.A. „Energocom” i</w:t>
            </w:r>
            <w:r w:rsidR="0075645F" w:rsidRPr="007F4EDF">
              <w:rPr>
                <w:rFonts w:ascii="Times New Roman" w:eastAsia="Times New Roman" w:hAnsi="Times New Roman" w:cs="Times New Roman"/>
                <w:bCs/>
                <w:lang w:val="ro-RO" w:eastAsia="ru-RU"/>
              </w:rPr>
              <w:t>nformează despre lipsa</w:t>
            </w:r>
            <w:r w:rsidR="004C6F07" w:rsidRPr="007F4EDF">
              <w:rPr>
                <w:rFonts w:ascii="Times New Roman" w:eastAsia="Times New Roman" w:hAnsi="Times New Roman" w:cs="Times New Roman"/>
                <w:bCs/>
                <w:lang w:val="ro-RO" w:eastAsia="ru-RU"/>
              </w:rPr>
              <w:t xml:space="preserve"> obiecții</w:t>
            </w:r>
            <w:r w:rsidRPr="007F4EDF">
              <w:rPr>
                <w:rFonts w:ascii="Times New Roman" w:eastAsia="Times New Roman" w:hAnsi="Times New Roman" w:cs="Times New Roman"/>
                <w:bCs/>
                <w:lang w:val="ro-RO" w:eastAsia="ru-RU"/>
              </w:rPr>
              <w:t>lor</w:t>
            </w:r>
            <w:r w:rsidR="0075645F" w:rsidRPr="007F4EDF">
              <w:rPr>
                <w:rFonts w:ascii="Times New Roman" w:eastAsia="Times New Roman" w:hAnsi="Times New Roman" w:cs="Times New Roman"/>
                <w:bCs/>
                <w:lang w:val="ro-RO" w:eastAsia="ru-RU"/>
              </w:rPr>
              <w:t xml:space="preserve"> </w:t>
            </w:r>
            <w:r w:rsidR="004C6F07" w:rsidRPr="007F4EDF">
              <w:rPr>
                <w:rFonts w:ascii="Times New Roman" w:eastAsia="Times New Roman" w:hAnsi="Times New Roman" w:cs="Times New Roman"/>
                <w:bCs/>
                <w:lang w:val="ro-RO" w:eastAsia="ru-RU"/>
              </w:rPr>
              <w:t>și</w:t>
            </w:r>
            <w:r w:rsidR="0075645F" w:rsidRPr="007F4EDF">
              <w:rPr>
                <w:rFonts w:ascii="Times New Roman" w:eastAsia="Times New Roman" w:hAnsi="Times New Roman" w:cs="Times New Roman"/>
                <w:bCs/>
                <w:lang w:val="ro-RO" w:eastAsia="ru-RU"/>
              </w:rPr>
              <w:t xml:space="preserve"> propuneri</w:t>
            </w:r>
            <w:r w:rsidRPr="007F4EDF">
              <w:rPr>
                <w:rFonts w:ascii="Times New Roman" w:eastAsia="Times New Roman" w:hAnsi="Times New Roman" w:cs="Times New Roman"/>
                <w:bCs/>
                <w:lang w:val="ro-RO" w:eastAsia="ru-RU"/>
              </w:rPr>
              <w:t>lor</w:t>
            </w:r>
            <w:r w:rsidR="004C6F07" w:rsidRPr="007F4EDF">
              <w:rPr>
                <w:rFonts w:ascii="Times New Roman" w:eastAsia="Times New Roman" w:hAnsi="Times New Roman" w:cs="Times New Roman"/>
                <w:bCs/>
                <w:lang w:val="ro-RO" w:eastAsia="ru-RU"/>
              </w:rPr>
              <w:t xml:space="preserve"> la proiectul dat</w:t>
            </w:r>
            <w:r w:rsidRPr="007F4EDF">
              <w:rPr>
                <w:rFonts w:ascii="Times New Roman" w:eastAsia="Times New Roman" w:hAnsi="Times New Roman" w:cs="Times New Roman"/>
                <w:bCs/>
                <w:lang w:val="ro-RO" w:eastAsia="ru-RU"/>
              </w:rPr>
              <w:t>.</w:t>
            </w:r>
          </w:p>
        </w:tc>
      </w:tr>
      <w:tr w:rsidR="00C23EB9" w:rsidRPr="00013A44" w14:paraId="34F3F575" w14:textId="77777777" w:rsidTr="00631B3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296E8" w14:textId="7E42835D" w:rsidR="00C23EB9" w:rsidRPr="007F4EDF" w:rsidRDefault="00560A97" w:rsidP="005A242B">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7F4EDF">
              <w:rPr>
                <w:rFonts w:ascii="Times New Roman" w:eastAsia="Times New Roman" w:hAnsi="Times New Roman" w:cs="Times New Roman"/>
                <w:b/>
                <w:lang w:val="ro-RO"/>
              </w:rPr>
              <w:t xml:space="preserve">S.R.L. </w:t>
            </w:r>
            <w:r w:rsidR="00C23EB9" w:rsidRPr="007F4EDF">
              <w:rPr>
                <w:rFonts w:ascii="Times New Roman" w:eastAsia="Times New Roman" w:hAnsi="Times New Roman" w:cs="Times New Roman"/>
                <w:b/>
                <w:lang w:val="ro-RO"/>
              </w:rPr>
              <w:t>„</w:t>
            </w:r>
            <w:r w:rsidR="00B732F1" w:rsidRPr="007F4EDF">
              <w:rPr>
                <w:rFonts w:ascii="Times New Roman" w:eastAsia="Times New Roman" w:hAnsi="Times New Roman" w:cs="Times New Roman"/>
                <w:b/>
                <w:lang w:val="ro-RO"/>
              </w:rPr>
              <w:t>Navitas</w:t>
            </w:r>
            <w:r w:rsidR="00C23EB9" w:rsidRPr="007F4EDF">
              <w:rPr>
                <w:rFonts w:ascii="Times New Roman" w:eastAsia="Times New Roman" w:hAnsi="Times New Roman" w:cs="Times New Roman"/>
                <w:b/>
                <w:lang w:val="ro-RO"/>
              </w:rPr>
              <w:t xml:space="preserve"> Energy” (aviz nr. </w:t>
            </w:r>
            <w:r w:rsidR="00B732F1" w:rsidRPr="007F4EDF">
              <w:rPr>
                <w:rFonts w:ascii="Times New Roman" w:eastAsia="Times New Roman" w:hAnsi="Times New Roman" w:cs="Times New Roman"/>
                <w:b/>
                <w:lang w:val="en-US"/>
              </w:rPr>
              <w:t>02023 din 05</w:t>
            </w:r>
            <w:r w:rsidR="00C23EB9" w:rsidRPr="007F4EDF">
              <w:rPr>
                <w:rFonts w:ascii="Times New Roman" w:eastAsia="Times New Roman" w:hAnsi="Times New Roman" w:cs="Times New Roman"/>
                <w:b/>
                <w:lang w:val="en-US"/>
              </w:rPr>
              <w:t>.0</w:t>
            </w:r>
            <w:r w:rsidR="00B732F1" w:rsidRPr="007F4EDF">
              <w:rPr>
                <w:rFonts w:ascii="Times New Roman" w:eastAsia="Times New Roman" w:hAnsi="Times New Roman" w:cs="Times New Roman"/>
                <w:b/>
                <w:lang w:val="en-US"/>
              </w:rPr>
              <w:t>6</w:t>
            </w:r>
            <w:r w:rsidR="00C23EB9" w:rsidRPr="007F4EDF">
              <w:rPr>
                <w:rFonts w:ascii="Times New Roman" w:eastAsia="Times New Roman" w:hAnsi="Times New Roman" w:cs="Times New Roman"/>
                <w:b/>
                <w:lang w:val="en-US"/>
              </w:rPr>
              <w:t>.2026)</w:t>
            </w:r>
          </w:p>
        </w:tc>
      </w:tr>
      <w:tr w:rsidR="003E1B14" w:rsidRPr="00013A44" w14:paraId="68CAA792" w14:textId="77777777" w:rsidTr="000F79EB">
        <w:trPr>
          <w:jc w:val="center"/>
        </w:trPr>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4B0B2C" w14:textId="72B27135" w:rsidR="003E1B14" w:rsidRPr="007F4EDF" w:rsidRDefault="00C23EB9" w:rsidP="00485A2D">
            <w:pPr>
              <w:pStyle w:val="ListParagraph"/>
              <w:tabs>
                <w:tab w:val="left" w:pos="627"/>
                <w:tab w:val="left" w:pos="851"/>
              </w:tabs>
              <w:spacing w:after="0" w:line="240" w:lineRule="auto"/>
              <w:ind w:left="0"/>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La </w:t>
            </w:r>
            <w:r w:rsidR="00B732F1" w:rsidRPr="007F4EDF">
              <w:rPr>
                <w:rFonts w:ascii="Times New Roman" w:eastAsia="Times New Roman" w:hAnsi="Times New Roman" w:cs="Times New Roman"/>
                <w:bCs/>
                <w:lang w:val="ro-RO" w:eastAsia="ru-RU"/>
              </w:rPr>
              <w:t>conținut</w:t>
            </w:r>
          </w:p>
          <w:p w14:paraId="0E1C65AB" w14:textId="42ADFB3C" w:rsidR="00C23EB9" w:rsidRPr="007F4EDF" w:rsidRDefault="00C23EB9" w:rsidP="00485A2D">
            <w:pPr>
              <w:pStyle w:val="ListParagraph"/>
              <w:tabs>
                <w:tab w:val="left" w:pos="-50"/>
                <w:tab w:val="left" w:pos="234"/>
              </w:tabs>
              <w:spacing w:after="0" w:line="240" w:lineRule="auto"/>
              <w:ind w:left="0"/>
              <w:rPr>
                <w:rFonts w:ascii="Times New Roman" w:eastAsia="Times New Roman" w:hAnsi="Times New Roman" w:cs="Times New Roman"/>
                <w:bCs/>
                <w:lang w:val="ro-RO" w:eastAsia="ru-RU"/>
              </w:rPr>
            </w:pP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7514A1" w14:textId="0A99A9DC" w:rsidR="003E1B14" w:rsidRPr="007F4EDF" w:rsidRDefault="00B732F1" w:rsidP="00C23EB9">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„Navitas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A55795" w14:textId="0D7E7524" w:rsidR="003E1B14" w:rsidRPr="007F4EDF" w:rsidRDefault="00C23EB9" w:rsidP="00F5220C">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1</w:t>
            </w:r>
          </w:p>
        </w:tc>
        <w:tc>
          <w:tcPr>
            <w:tcW w:w="2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5B35D" w14:textId="77777777" w:rsidR="00485A2D" w:rsidRPr="007F4EDF" w:rsidRDefault="00B732F1" w:rsidP="00485A2D">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contextul consultării publice asupra proiectului de Hotărâre privind stabilirea mecanismului de normalizare a prețurilor pe piața energiei electrice de echilibrare și pentru decontarea dezechilibrelor, vă prezentăm o serie de observații și considerații tehnico-economice care, în opinia noastră, justifică revizuirea nivelului propus al plafonului de ±15.000 lei/MWh pentru prețul dezechilibrelor, precum și analiza oportunității introducerii unui prag minim de preț pentru dezechilibrele în excedent.</w:t>
            </w:r>
          </w:p>
          <w:p w14:paraId="2D688963" w14:textId="77777777" w:rsidR="00B732F1" w:rsidRPr="007F4EDF" w:rsidRDefault="00B732F1" w:rsidP="00485A2D">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Conform informațiilor comunicate public, prețul mediu ponderat anual al energiei electrice achiziționate de Energocom în anul 2025 a constituit aproximativ 125 EUR/MWh. Raportat la această valoare de referință, plafonul propus de 15.000 lei/MWh, echivalent cu aproximativ 750 EUR/MWh, depășește de peste șase ori costul mediu al energiei electrice și nu pare să reflecte într-o manieră proporțională nivelul costurilor reale ale sistemului sau disponibilitatea resurselor de echilibrare. În aceste condiții, există riscul generării unor expuneri financiare excesive și dificil de gestionat pentru participanții la piață.</w:t>
            </w:r>
          </w:p>
          <w:p w14:paraId="111BFA38"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Analiza caracteristicilor actuale ale pieței energiei electrice din Republica Moldova evidențiază existența unor constrângeri structurale semnificative care limitează capacitatea participanților de a gestiona eficient riscurile asociate dezechilibrelor, dintre care menționăm:</w:t>
            </w:r>
          </w:p>
          <w:p w14:paraId="795AEED6"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lichiditatea redusă a pieței angro și accesul limitat la produse forward și intraday;</w:t>
            </w:r>
          </w:p>
          <w:p w14:paraId="3089864C"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dezvoltarea încă incipientă a pieței intraday, cu volume tranzacționale insuficiente pentru efectuarea ajustărilor operative ale pozițiilor comerciale;</w:t>
            </w:r>
          </w:p>
          <w:p w14:paraId="26F1E382"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 capacitatea transfrontalieră limitată, care restrânge posibilitățile de optimizare a portofoliilor și de gestionare a riscurilor;</w:t>
            </w:r>
          </w:p>
          <w:p w14:paraId="28B1BA29"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existența furnizorului cu obligație de serviciu public, care continuă să influențeze mecanismele concurențiale și procesul de formare a prețurilor.</w:t>
            </w:r>
          </w:p>
          <w:p w14:paraId="3E6C0079" w14:textId="2D4B05C5"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acest context, participanții la piață nu beneficiază încă de un set complet de instrumente care să le permită gestionarea eficientă a expunerii la dezechilibre. Ca urmare, aceștia sunt supuși unui risc financiar semnificativ generat de volatilitatea prețurilor de echilibrare. Din această perspectivă, aplicarea unui plafon maxim de decontare a dezechilibrelor la nivelul de 15.000 lei/MWh poate</w:t>
            </w:r>
            <w:r w:rsidR="00C94F9B" w:rsidRPr="007F4EDF">
              <w:rPr>
                <w:rFonts w:ascii="Times New Roman" w:eastAsia="Times New Roman" w:hAnsi="Times New Roman" w:cs="Times New Roman"/>
                <w:bCs/>
                <w:lang w:val="ro-RO" w:eastAsia="ru-RU"/>
              </w:rPr>
              <w:t xml:space="preserve"> </w:t>
            </w:r>
            <w:r w:rsidRPr="007F4EDF">
              <w:rPr>
                <w:rFonts w:ascii="Times New Roman" w:eastAsia="Times New Roman" w:hAnsi="Times New Roman" w:cs="Times New Roman"/>
                <w:bCs/>
                <w:lang w:val="ro-RO" w:eastAsia="ru-RU"/>
              </w:rPr>
              <w:t>conduce la expuneri financiare disproporționate pentru PRE-uri, furnizori și producători, cu potențialul de a afecta stabilitatea financiară a participanților și, implicit, funcționarea eficientă a întregului sector energetic.</w:t>
            </w:r>
          </w:p>
          <w:p w14:paraId="505AFABF"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același timp, Republica Moldova rămâne în continuare dependentă de importurile de energie electrică, iar o pondere importantă a producției naționale este asigurată de producători de energie regenerabilă, ale căror capacități financiare și operaționale pentru gestionarea unor riscuri de asemenea dimensiune sunt limitate. În acest context, aplicarea unor plafoane excesiv de ridicate pentru decontarea dezechilibrelor poate conduce la creșterea semnificativă a presiunii financiare asupra acestor participanți, punând în pericol sustenabilitatea economică a proiectelor aflate în exploatare și reducând interesul investițional pentru dezvoltarea de noi capacități regenerabile.</w:t>
            </w:r>
          </w:p>
          <w:p w14:paraId="4D525497"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De asemenea, costurile aferente dezechilibrelor suportate de furnizori și de participanții responsabili de echilibrare (PRE) vor fi transferate, în mod inevitabil, în costurile de furnizare și, ulterior, în tarifele achitate de consumatorii finali. Astfel, instituirea unor plafoane care nu reflectă în mod proporțional realitățile și riscurile pieței poate produce efecte economice cu impact extins, depășind nivelul participanților direcți și afectând competitivitatea întregii economii naționale.</w:t>
            </w:r>
          </w:p>
          <w:p w14:paraId="6A841193"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Considerăm relevantă și analiza practicilor regionale, care demonstrează că sisteme energetice mai dezvoltate și mai lichide aplică mecanisme de plafonare semnificativ mai moderate:</w:t>
            </w:r>
          </w:p>
          <w:p w14:paraId="67A323BE"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România – prețurile de echilibrare se situează, în mod obișnuit, în intervale de aproximativ 400–500 EUR/MWh, într-un sistem caracterizat printr-o piață intraday matură și instrumente avansate de gestionare a riscurilor;</w:t>
            </w:r>
          </w:p>
          <w:p w14:paraId="1724DD02"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Ucraina – cadrul de echilibrare prevede valori plafonate în intervalul 300–350 EUR/MWh, ținând cont de constrângerile operaționale ale sistemului;</w:t>
            </w:r>
          </w:p>
          <w:p w14:paraId="0836FBCE"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 Bulgaria – mecanismele de echilibrare conduc, în general, la valori situate sub 250–300 EUR/MWh.</w:t>
            </w:r>
          </w:p>
          <w:p w14:paraId="4066BBC4"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Aceste exemple demonstrează că, pentru o piață aflată încă în proces de maturizare, un plafon echivalent cu aproximativ 750 EUR/MWh apare ca fiind disproporționat în raport cu obiectivele urmărite de mecanismul de decontare a dezechilibrelor.</w:t>
            </w:r>
          </w:p>
          <w:p w14:paraId="403E354E"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Subliniem că rolul prețului dezechilibrului este de a responsabiliza participanții la piață în procesul de prognozare și de a stimula adoptarea măsurilor necesare pentru reducerea dezechilibrelor. Susținem pe deplin aceste obiective și considerăm că ele sunt esențiale pentru buna funcționare a pieței. Totuși, atingerea lor nu necesită aplicarea unui plafon de nivel extrem, care poate genera efecte economice negative disproporționate în raport cu beneficiile urmărite.</w:t>
            </w:r>
          </w:p>
          <w:p w14:paraId="73810FB4"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mod particular, considerăm că propunerea de stabilire a plafonului pentru decontarea dezechilibrelor la nivelul de ±15.000 lei/MWh necesită o fundamentare suplimentară. Deși Nota de fundamentare menționează necesitatea ca plafonul dezechilibrelor să fie superior plafonului energiei de echilibrare, nu sunt prezentate argumente tehnice sau economice suficiente care să justifice aplicarea unui factor de majorare de 50% față de plafonul de 10.000 lei/MWh stabilit pentru energia de echilibrare.</w:t>
            </w:r>
          </w:p>
          <w:p w14:paraId="05DDD451"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lipsa unei justificări clare privind nivelul acestei majorări, considerăm că diferența propusă are un caracter excesiv și poate genera costuri disproporționate pentru participanții la piață. Din această perspectivă, solicităm respectuos ANRE să reexamineze nivelul factorului de majorare aplicat plafonului pentru decontarea dezechilibrelor și să efectueze o analiză suplimentară a practicilor aplicate în statele din regiune și în alte piețe europene comparabile.</w:t>
            </w:r>
          </w:p>
          <w:p w14:paraId="2A26E505"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Considerăm că un factor de majorare mai redus ar putea îndeplini în mod eficient funcția de stimulare și responsabilizare a participanților la piață, menținând totodată caracterul proporțional al mecanismului și evitând introducerea unor penalități excesive raportate la nivelul deja ridicat al plafonului energiei de echilibrare.</w:t>
            </w:r>
          </w:p>
          <w:p w14:paraId="312CB022"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Totodată, simulările prezentate de către Moldelectrica evidențiază existența unor intervale în care prețul energiei de echilibrare pentru excedent poate deveni negativ. Acest fapt demonstrează că, în anumite condiții de funcționare a sistemului electroenergetic, energia excedentară poate avea o valoare economică foarte redusă sau chiar negativă, reflectând costurile suplimentare generate pentru menținerea echilibrului sistemului.</w:t>
            </w:r>
          </w:p>
          <w:p w14:paraId="1A6DCE7D"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Având în vedere aceste circumstanțe și ținând cont de nivelul actual de maturitate al pieței, considerăm oportună analizarea unei soluții tranzitorii pentru decontarea dezechilibrelor în excedent, care să prevadă stabilirea unei limite minime de preț apropiate de zero, în locul aplicării unor valori negative. O astfel de abordare ar permite menținerea unui semnal economic adecvat privind existența surplusului de energie în sistem, oferind totodată un grad mai ridicat de stabilitate, predictibilitate și protecție împotriva riscurilor excesive pentru participanții la piață.</w:t>
            </w:r>
          </w:p>
          <w:p w14:paraId="0197457D"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O soluție similară este aplicată în Ucraina, unde prețul de decontare a dezechilibrelor pentru excedent poate coborî până la nivelul minim reglementat de 0,01 UAH/MWh. Această practică demonstrează că este posibilă transmiterea semnalului economic privind surplusul de energie fără a expune participanții la consecințele unor prețuri negative semnificative, aspect deosebit de relevant pentru piețele aflate într-o etapă de dezvoltare și consolidare instituțională.</w:t>
            </w:r>
          </w:p>
          <w:p w14:paraId="2351891B"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concluzie, considerăm că atingerea obiectivelor de responsabilizare a participanților la piață și de dezvoltare a unei piețe de echilibrare eficiente poate fi realizată printr-un mecanism de plafonare proporțional cu gradul actual de maturitate al pieței energiei electrice din Republica Moldova. În acest sens, solicităm respectuos ANRE să reanalizeze nivelul plafonului propus pentru decontarea dezechilibrelor, să reevalueze factorul de majorare aplicat față de plafonul energiei de echilibrare și să examineze oportunitatea instituirii unei limite minime de preț apropiate de zero pentru dezechilibrele în excedent (interzicerea prețurilor negative).</w:t>
            </w:r>
          </w:p>
          <w:p w14:paraId="0A05893C"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Totodată, considerăm că implementarea plafoanelor ar trebui să urmeze o abordare graduală și predictibilă, corelată cu dezvoltarea pieței energiei electrice, creșterea lichidității segmentelor de tranzacționare și extinderea instrumentelor disponibile pentru gestionarea riscurilor. O asemenea abordare ar permite participanților la piață să se adapteze progresiv la noile condiții de funcționare, evitând transferarea unor riscuri financiare excesive asupra furnizorilor, PRE-urilor și producătorilor, în special asupra producătorilor din surse regenerabile.</w:t>
            </w:r>
          </w:p>
          <w:p w14:paraId="44B204A0" w14:textId="77777777" w:rsidR="00E84CB2" w:rsidRPr="007F4EDF" w:rsidRDefault="00E84CB2" w:rsidP="00E84CB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acest sens, propunem examinarea următorului mecanism tranzitoriu de plafonare:</w:t>
            </w:r>
          </w:p>
          <w:tbl>
            <w:tblPr>
              <w:tblStyle w:val="TableGrid"/>
              <w:tblW w:w="0" w:type="auto"/>
              <w:tblLook w:val="04A0" w:firstRow="1" w:lastRow="0" w:firstColumn="1" w:lastColumn="0" w:noHBand="0" w:noVBand="1"/>
            </w:tblPr>
            <w:tblGrid>
              <w:gridCol w:w="1060"/>
              <w:gridCol w:w="1426"/>
              <w:gridCol w:w="1426"/>
              <w:gridCol w:w="1426"/>
              <w:gridCol w:w="1426"/>
            </w:tblGrid>
            <w:tr w:rsidR="00E84CB2" w:rsidRPr="00013A44" w14:paraId="7294A621" w14:textId="77777777" w:rsidTr="00E84CB2">
              <w:tc>
                <w:tcPr>
                  <w:tcW w:w="1110" w:type="dxa"/>
                </w:tcPr>
                <w:p w14:paraId="7CB3FD66" w14:textId="4E5406A6"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perioada</w:t>
                  </w:r>
                </w:p>
              </w:tc>
              <w:tc>
                <w:tcPr>
                  <w:tcW w:w="1111" w:type="dxa"/>
                </w:tcPr>
                <w:p w14:paraId="200D3E79" w14:textId="75EE1023"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EE de echilibrare – creștere de </w:t>
                  </w:r>
                  <w:r w:rsidRPr="007F4EDF">
                    <w:rPr>
                      <w:rFonts w:ascii="Times New Roman" w:eastAsia="Times New Roman" w:hAnsi="Times New Roman" w:cs="Times New Roman"/>
                      <w:bCs/>
                      <w:lang w:val="ro-RO" w:eastAsia="ru-RU"/>
                    </w:rPr>
                    <w:lastRenderedPageBreak/>
                    <w:t>putere (MDL/MWh)</w:t>
                  </w:r>
                </w:p>
              </w:tc>
              <w:tc>
                <w:tcPr>
                  <w:tcW w:w="1111" w:type="dxa"/>
                </w:tcPr>
                <w:p w14:paraId="295E7B41" w14:textId="77777777"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EE de echilibrare – reducere de putere</w:t>
                  </w:r>
                </w:p>
                <w:p w14:paraId="37226AB8" w14:textId="28AB41E2"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(MDL/MWh)</w:t>
                  </w:r>
                </w:p>
              </w:tc>
              <w:tc>
                <w:tcPr>
                  <w:tcW w:w="1111" w:type="dxa"/>
                </w:tcPr>
                <w:p w14:paraId="6E0F9EC9" w14:textId="77777777"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 xml:space="preserve">Limita de preț pozitivă pentru dezechilibre </w:t>
                  </w:r>
                </w:p>
                <w:p w14:paraId="3E64E89D" w14:textId="684B781B"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(MDL/MWh)</w:t>
                  </w:r>
                </w:p>
              </w:tc>
              <w:tc>
                <w:tcPr>
                  <w:tcW w:w="1111" w:type="dxa"/>
                </w:tcPr>
                <w:p w14:paraId="0E22324B" w14:textId="3FEE996F"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 xml:space="preserve">Limita minimă de preț pentru </w:t>
                  </w:r>
                  <w:r w:rsidRPr="007F4EDF">
                    <w:rPr>
                      <w:rFonts w:ascii="Times New Roman" w:eastAsia="Times New Roman" w:hAnsi="Times New Roman" w:cs="Times New Roman"/>
                      <w:bCs/>
                      <w:lang w:val="ro-RO" w:eastAsia="ru-RU"/>
                    </w:rPr>
                    <w:lastRenderedPageBreak/>
                    <w:t xml:space="preserve">dezechilibre </w:t>
                  </w:r>
                  <w:r w:rsidR="00132B6B" w:rsidRPr="007F4EDF">
                    <w:rPr>
                      <w:rFonts w:ascii="Times New Roman" w:eastAsia="Times New Roman" w:hAnsi="Times New Roman" w:cs="Times New Roman"/>
                      <w:bCs/>
                      <w:lang w:val="ro-RO" w:eastAsia="ru-RU"/>
                    </w:rPr>
                    <w:t>în ex</w:t>
                  </w:r>
                  <w:r w:rsidR="005A242B" w:rsidRPr="007F4EDF">
                    <w:rPr>
                      <w:rFonts w:ascii="Times New Roman" w:eastAsia="Times New Roman" w:hAnsi="Times New Roman" w:cs="Times New Roman"/>
                      <w:bCs/>
                      <w:lang w:val="ro-RO" w:eastAsia="ru-RU"/>
                    </w:rPr>
                    <w:t>c</w:t>
                  </w:r>
                  <w:r w:rsidR="00132B6B" w:rsidRPr="007F4EDF">
                    <w:rPr>
                      <w:rFonts w:ascii="Times New Roman" w:eastAsia="Times New Roman" w:hAnsi="Times New Roman" w:cs="Times New Roman"/>
                      <w:bCs/>
                      <w:lang w:val="ro-RO" w:eastAsia="ru-RU"/>
                    </w:rPr>
                    <w:t>edent</w:t>
                  </w:r>
                </w:p>
                <w:p w14:paraId="403CABB9" w14:textId="50F03060"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(MDL/MWh)</w:t>
                  </w:r>
                </w:p>
              </w:tc>
            </w:tr>
            <w:tr w:rsidR="00E84CB2" w:rsidRPr="00013A44" w14:paraId="51FBC13B" w14:textId="77777777" w:rsidTr="00132B6B">
              <w:tc>
                <w:tcPr>
                  <w:tcW w:w="1110" w:type="dxa"/>
                </w:tcPr>
                <w:p w14:paraId="4BB63C98" w14:textId="31794A34" w:rsidR="00E84CB2" w:rsidRPr="007F4EDF" w:rsidRDefault="00E84CB2"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Până la 31.12.26</w:t>
                  </w:r>
                </w:p>
              </w:tc>
              <w:tc>
                <w:tcPr>
                  <w:tcW w:w="1111" w:type="dxa"/>
                </w:tcPr>
                <w:p w14:paraId="293F6FC2" w14:textId="60821C16" w:rsidR="00E84CB2" w:rsidRPr="007F4EDF" w:rsidRDefault="00132B6B"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5.000</w:t>
                  </w:r>
                </w:p>
              </w:tc>
              <w:tc>
                <w:tcPr>
                  <w:tcW w:w="1111" w:type="dxa"/>
                  <w:vAlign w:val="center"/>
                </w:tcPr>
                <w:p w14:paraId="01AF2578" w14:textId="73F5D925"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0</w:t>
                  </w:r>
                </w:p>
              </w:tc>
              <w:tc>
                <w:tcPr>
                  <w:tcW w:w="1111" w:type="dxa"/>
                  <w:vAlign w:val="center"/>
                </w:tcPr>
                <w:p w14:paraId="373D24B7" w14:textId="5205C2D2"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5.500</w:t>
                  </w:r>
                </w:p>
              </w:tc>
              <w:tc>
                <w:tcPr>
                  <w:tcW w:w="1111" w:type="dxa"/>
                  <w:vAlign w:val="center"/>
                </w:tcPr>
                <w:p w14:paraId="3FB65C32" w14:textId="2106FABE"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0</w:t>
                  </w:r>
                </w:p>
              </w:tc>
            </w:tr>
            <w:tr w:rsidR="00E84CB2" w:rsidRPr="00013A44" w14:paraId="132F36B5" w14:textId="77777777" w:rsidTr="00132B6B">
              <w:tc>
                <w:tcPr>
                  <w:tcW w:w="1110" w:type="dxa"/>
                </w:tcPr>
                <w:p w14:paraId="4230D0D2" w14:textId="107C7509" w:rsidR="00E84CB2" w:rsidRPr="007F4EDF" w:rsidRDefault="00132B6B"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01.01.27- 30.06.27</w:t>
                  </w:r>
                </w:p>
              </w:tc>
              <w:tc>
                <w:tcPr>
                  <w:tcW w:w="1111" w:type="dxa"/>
                </w:tcPr>
                <w:p w14:paraId="65C7E0B4" w14:textId="3CAB8DEA" w:rsidR="00E84CB2" w:rsidRPr="007F4EDF" w:rsidRDefault="00132B6B" w:rsidP="00132B6B">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7.500</w:t>
                  </w:r>
                </w:p>
              </w:tc>
              <w:tc>
                <w:tcPr>
                  <w:tcW w:w="1111" w:type="dxa"/>
                  <w:vAlign w:val="center"/>
                </w:tcPr>
                <w:p w14:paraId="4004401E" w14:textId="399849CB"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0</w:t>
                  </w:r>
                </w:p>
              </w:tc>
              <w:tc>
                <w:tcPr>
                  <w:tcW w:w="1111" w:type="dxa"/>
                  <w:vAlign w:val="center"/>
                </w:tcPr>
                <w:p w14:paraId="7E1C99DC" w14:textId="6EDD3729"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8.500</w:t>
                  </w:r>
                </w:p>
              </w:tc>
              <w:tc>
                <w:tcPr>
                  <w:tcW w:w="1111" w:type="dxa"/>
                  <w:vAlign w:val="center"/>
                </w:tcPr>
                <w:p w14:paraId="2A477A65" w14:textId="23CE0C96"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0</w:t>
                  </w:r>
                </w:p>
              </w:tc>
            </w:tr>
            <w:tr w:rsidR="00E84CB2" w:rsidRPr="00013A44" w14:paraId="44218269" w14:textId="77777777" w:rsidTr="00132B6B">
              <w:tc>
                <w:tcPr>
                  <w:tcW w:w="1110" w:type="dxa"/>
                </w:tcPr>
                <w:p w14:paraId="15527235" w14:textId="371B87FE" w:rsidR="00E84CB2" w:rsidRPr="007F4EDF" w:rsidRDefault="00132B6B" w:rsidP="00E84CB2">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Începând cu 01.07.27</w:t>
                  </w:r>
                </w:p>
              </w:tc>
              <w:tc>
                <w:tcPr>
                  <w:tcW w:w="1111" w:type="dxa"/>
                </w:tcPr>
                <w:p w14:paraId="16F4146D" w14:textId="50B612A3" w:rsidR="00E84CB2" w:rsidRPr="007F4EDF" w:rsidRDefault="00132B6B" w:rsidP="00132B6B">
                  <w:pPr>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10.000</w:t>
                  </w:r>
                </w:p>
              </w:tc>
              <w:tc>
                <w:tcPr>
                  <w:tcW w:w="1111" w:type="dxa"/>
                  <w:vAlign w:val="center"/>
                </w:tcPr>
                <w:p w14:paraId="2CC063C7" w14:textId="2253B336"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0</w:t>
                  </w:r>
                </w:p>
              </w:tc>
              <w:tc>
                <w:tcPr>
                  <w:tcW w:w="1111" w:type="dxa"/>
                  <w:vAlign w:val="center"/>
                </w:tcPr>
                <w:p w14:paraId="6BC09C63" w14:textId="6E968F5E"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11.000</w:t>
                  </w:r>
                </w:p>
              </w:tc>
              <w:tc>
                <w:tcPr>
                  <w:tcW w:w="1111" w:type="dxa"/>
                  <w:vAlign w:val="center"/>
                </w:tcPr>
                <w:p w14:paraId="573C6CA9" w14:textId="32C5ADDC" w:rsidR="00E84CB2" w:rsidRPr="007F4EDF" w:rsidRDefault="00132B6B" w:rsidP="00132B6B">
                  <w:pPr>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0</w:t>
                  </w:r>
                </w:p>
              </w:tc>
            </w:tr>
          </w:tbl>
          <w:p w14:paraId="16B39797" w14:textId="77777777" w:rsidR="001B6EAC" w:rsidRPr="007F4EDF" w:rsidRDefault="001B6EAC" w:rsidP="001B6EAC">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Considerăm că o astfel de soluție ar permite transmiterea unor semnale economice adecvate participanților la piață, menținând în același timp caracterul proporțional al mecanismului de decontare a dezechilibrelor și contribuind la consolidarea treptată a pieței energiei electrice din Republica Moldova.</w:t>
            </w:r>
          </w:p>
          <w:p w14:paraId="321DA29B" w14:textId="02CB3F38" w:rsidR="00E84CB2" w:rsidRPr="007F4EDF" w:rsidRDefault="001B6EAC" w:rsidP="001B6EAC">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încheiere, dorim să exprimăm aprecierea noastră pentru atenția acordată scrisorii nr. 01963-30042026, prin care Navitas Energy SRL a semnalat necesitatea instituirii unui mecanism de plafonare a prețurilor dezechilibrelor. Considerăm că actuala consultare reprezintă un pas important pentru consolidarea cadrului de reglementare și pentru dezvoltarea unei piețe a energiei electrice funcționale, competitive și sustenabile.</w:t>
            </w:r>
          </w:p>
        </w:tc>
        <w:tc>
          <w:tcPr>
            <w:tcW w:w="11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9D3003" w14:textId="77777777" w:rsidR="003E1B14" w:rsidRPr="003B2F0B" w:rsidRDefault="005A242B"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 xml:space="preserve">Se acceptă parțial. </w:t>
            </w:r>
          </w:p>
          <w:p w14:paraId="6DB26FF6" w14:textId="77777777" w:rsidR="005A242B" w:rsidRPr="003B2F0B" w:rsidRDefault="005A242B"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0AD9450" w14:textId="77777777" w:rsidR="005A242B" w:rsidRPr="003B2F0B" w:rsidRDefault="005A242B"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 xml:space="preserve">Astfel se propune aplicarea următoarelor valori: </w:t>
            </w:r>
          </w:p>
          <w:p w14:paraId="0EBBDA28" w14:textId="77777777" w:rsidR="005A242B" w:rsidRPr="003B2F0B" w:rsidRDefault="005A242B"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207086C" w14:textId="67F42686" w:rsidR="00C94F9B" w:rsidRPr="003B2F0B" w:rsidRDefault="00C94F9B" w:rsidP="003B2F0B">
            <w:pPr>
              <w:tabs>
                <w:tab w:val="left" w:pos="627"/>
                <w:tab w:val="left" w:pos="851"/>
              </w:tabs>
              <w:spacing w:after="0" w:line="240" w:lineRule="auto"/>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 xml:space="preserve">1.1 pentru energia electrică de echilibrare la creștere de putere – </w:t>
            </w:r>
            <w:r w:rsidRPr="003B2F0B">
              <w:rPr>
                <w:rFonts w:ascii="Times New Roman" w:eastAsia="Times New Roman" w:hAnsi="Times New Roman" w:cs="Times New Roman"/>
                <w:b/>
                <w:lang w:val="ro-RO"/>
              </w:rPr>
              <w:t>(+) 8 000 lei/MWh;</w:t>
            </w:r>
          </w:p>
          <w:p w14:paraId="58B80402" w14:textId="2856D51B" w:rsidR="00C94F9B" w:rsidRPr="003B2F0B" w:rsidRDefault="00C94F9B" w:rsidP="00C94F9B">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lang w:val="ro-RO"/>
              </w:rPr>
              <w:t>1.2.</w:t>
            </w:r>
            <w:r w:rsidRPr="003B2F0B">
              <w:rPr>
                <w:rFonts w:ascii="Times New Roman" w:eastAsia="Times New Roman" w:hAnsi="Times New Roman" w:cs="Times New Roman"/>
                <w:lang w:val="ro-RO"/>
              </w:rPr>
              <w:tab/>
              <w:t xml:space="preserve"> pentru energia electrică de echilibrare la reducere de putere – (-) </w:t>
            </w:r>
            <w:r w:rsidRPr="003B2F0B">
              <w:rPr>
                <w:rFonts w:ascii="Times New Roman" w:eastAsia="Times New Roman" w:hAnsi="Times New Roman" w:cs="Times New Roman"/>
                <w:b/>
                <w:lang w:val="ro-RO"/>
              </w:rPr>
              <w:t>8 000 lei/MWh.</w:t>
            </w:r>
          </w:p>
          <w:p w14:paraId="263A2741" w14:textId="2000B62B" w:rsidR="00C94F9B" w:rsidRPr="003B2F0B" w:rsidRDefault="00C94F9B" w:rsidP="00C94F9B">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F8A3A86" w14:textId="4F429A85" w:rsidR="00C94F9B" w:rsidRPr="003B2F0B" w:rsidRDefault="00C94F9B" w:rsidP="003B2F0B">
            <w:pPr>
              <w:tabs>
                <w:tab w:val="left" w:pos="627"/>
                <w:tab w:val="left" w:pos="851"/>
              </w:tabs>
              <w:spacing w:after="0" w:line="240" w:lineRule="auto"/>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2.1.</w:t>
            </w:r>
            <w:r w:rsidRPr="003B2F0B">
              <w:rPr>
                <w:rFonts w:ascii="Times New Roman" w:eastAsia="Times New Roman" w:hAnsi="Times New Roman" w:cs="Times New Roman"/>
                <w:lang w:val="ro-RO"/>
              </w:rPr>
              <w:tab/>
              <w:t xml:space="preserve"> Limita de preț pozitiv - (+) </w:t>
            </w:r>
            <w:r w:rsidRPr="003B2F0B">
              <w:rPr>
                <w:rFonts w:ascii="Times New Roman" w:eastAsia="Times New Roman" w:hAnsi="Times New Roman" w:cs="Times New Roman"/>
                <w:b/>
                <w:lang w:val="ro-RO"/>
              </w:rPr>
              <w:t>1</w:t>
            </w:r>
            <w:r w:rsidR="00C406BD" w:rsidRPr="003B2F0B">
              <w:rPr>
                <w:rFonts w:ascii="Times New Roman" w:eastAsia="Times New Roman" w:hAnsi="Times New Roman" w:cs="Times New Roman"/>
                <w:b/>
                <w:lang w:val="ro-RO"/>
              </w:rPr>
              <w:t>2</w:t>
            </w:r>
            <w:r w:rsidRPr="003B2F0B">
              <w:rPr>
                <w:rFonts w:ascii="Times New Roman" w:eastAsia="Times New Roman" w:hAnsi="Times New Roman" w:cs="Times New Roman"/>
                <w:b/>
                <w:lang w:val="ro-RO"/>
              </w:rPr>
              <w:t xml:space="preserve"> 000 lei/MWh;</w:t>
            </w:r>
          </w:p>
          <w:p w14:paraId="56594305" w14:textId="20BF612C" w:rsidR="00C94F9B" w:rsidRPr="003B2F0B" w:rsidRDefault="00C94F9B" w:rsidP="00C94F9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2.2.</w:t>
            </w:r>
            <w:r w:rsidRPr="003B2F0B">
              <w:rPr>
                <w:rFonts w:ascii="Times New Roman" w:eastAsia="Times New Roman" w:hAnsi="Times New Roman" w:cs="Times New Roman"/>
                <w:lang w:val="ro-RO"/>
              </w:rPr>
              <w:tab/>
              <w:t xml:space="preserve"> Limita de preț negativ - (-) </w:t>
            </w:r>
            <w:r w:rsidRPr="003B2F0B">
              <w:rPr>
                <w:rFonts w:ascii="Times New Roman" w:eastAsia="Times New Roman" w:hAnsi="Times New Roman" w:cs="Times New Roman"/>
                <w:b/>
                <w:lang w:val="ro-RO"/>
              </w:rPr>
              <w:t>1</w:t>
            </w:r>
            <w:r w:rsidR="00C406BD" w:rsidRPr="003B2F0B">
              <w:rPr>
                <w:rFonts w:ascii="Times New Roman" w:eastAsia="Times New Roman" w:hAnsi="Times New Roman" w:cs="Times New Roman"/>
                <w:b/>
                <w:lang w:val="ro-RO"/>
              </w:rPr>
              <w:t>2</w:t>
            </w:r>
            <w:r w:rsidRPr="003B2F0B">
              <w:rPr>
                <w:rFonts w:ascii="Times New Roman" w:eastAsia="Times New Roman" w:hAnsi="Times New Roman" w:cs="Times New Roman"/>
                <w:b/>
                <w:lang w:val="ro-RO"/>
              </w:rPr>
              <w:t xml:space="preserve"> 000 lei/MWh.</w:t>
            </w:r>
          </w:p>
          <w:p w14:paraId="63B16AB0" w14:textId="77777777" w:rsidR="00C94F9B" w:rsidRPr="003B2F0B" w:rsidRDefault="00C94F9B" w:rsidP="00C94F9B">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5F3E5FB" w14:textId="267EA5F5" w:rsidR="00C94F9B" w:rsidRPr="003B2F0B" w:rsidRDefault="00C94F9B" w:rsidP="00C94F9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tc>
      </w:tr>
      <w:tr w:rsidR="000F79EB" w:rsidRPr="00013A44" w14:paraId="40C3CFE8" w14:textId="77777777" w:rsidTr="000F79EB">
        <w:trPr>
          <w:trHeight w:val="243"/>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0C591F" w14:textId="10FAEE16" w:rsidR="000F79EB" w:rsidRPr="007F4EDF" w:rsidRDefault="000F79EB" w:rsidP="000F79EB">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7F4EDF">
              <w:rPr>
                <w:rFonts w:ascii="Times New Roman" w:eastAsia="Times New Roman" w:hAnsi="Times New Roman" w:cs="Times New Roman"/>
                <w:b/>
                <w:lang w:val="ro-RO"/>
              </w:rPr>
              <w:lastRenderedPageBreak/>
              <w:t>S.A. „CET- Nord”  (aviz nr. 227-08/0799 din 09.06.2025)</w:t>
            </w:r>
          </w:p>
        </w:tc>
      </w:tr>
      <w:tr w:rsidR="000F79EB" w:rsidRPr="00013A44" w14:paraId="2CE6BF16" w14:textId="77777777" w:rsidTr="000F79EB">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7E7F4F" w14:textId="67D01215" w:rsidR="000F79EB" w:rsidRPr="007F4EDF" w:rsidRDefault="000F79EB" w:rsidP="00453635">
            <w:pPr>
              <w:pStyle w:val="ListParagraph"/>
              <w:tabs>
                <w:tab w:val="left" w:pos="627"/>
                <w:tab w:val="left" w:pos="851"/>
              </w:tabs>
              <w:spacing w:after="0" w:line="240" w:lineRule="auto"/>
              <w:ind w:left="0"/>
              <w:jc w:val="center"/>
              <w:rPr>
                <w:rFonts w:ascii="Times New Roman" w:eastAsia="Times New Roman" w:hAnsi="Times New Roman" w:cs="Times New Roman"/>
                <w:lang w:val="ro-RO"/>
              </w:rPr>
            </w:pPr>
            <w:r w:rsidRPr="007F4EDF">
              <w:rPr>
                <w:rFonts w:ascii="Times New Roman" w:eastAsia="Times New Roman" w:hAnsi="Times New Roman" w:cs="Times New Roman"/>
                <w:lang w:val="ro-RO"/>
              </w:rPr>
              <w:t xml:space="preserve">S.A. „CET- Nord”  comunică despre </w:t>
            </w:r>
            <w:r w:rsidR="00453635" w:rsidRPr="007F4EDF">
              <w:rPr>
                <w:rFonts w:ascii="Times New Roman" w:eastAsia="Times New Roman" w:hAnsi="Times New Roman" w:cs="Times New Roman"/>
                <w:lang w:val="ro-RO"/>
              </w:rPr>
              <w:t>lipsa propunerilor sau obiecțiilor la proiectul dat.</w:t>
            </w:r>
          </w:p>
        </w:tc>
      </w:tr>
      <w:tr w:rsidR="001612C6" w:rsidRPr="00013A44" w14:paraId="26155073" w14:textId="77777777" w:rsidTr="001612C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28AA2E" w14:textId="48C27189" w:rsidR="001612C6" w:rsidRPr="007F4EDF" w:rsidRDefault="001612C6" w:rsidP="001612C6">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7F4EDF">
              <w:rPr>
                <w:rFonts w:ascii="Times New Roman" w:eastAsia="Times New Roman" w:hAnsi="Times New Roman" w:cs="Times New Roman"/>
                <w:b/>
                <w:lang w:val="ro-RO"/>
              </w:rPr>
              <w:t>Confederația Națională a Sindicatelor din Moldova (aviz nr. 03-02/410 din 10.06.2026)</w:t>
            </w:r>
          </w:p>
        </w:tc>
      </w:tr>
      <w:tr w:rsidR="001612C6" w:rsidRPr="00013A44" w14:paraId="579642DA" w14:textId="77777777" w:rsidTr="001612C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0DB99C" w14:textId="3310C97D" w:rsidR="001612C6" w:rsidRPr="003B2F0B" w:rsidRDefault="001612C6" w:rsidP="001612C6">
            <w:pPr>
              <w:pStyle w:val="ListParagraph"/>
              <w:tabs>
                <w:tab w:val="left" w:pos="627"/>
                <w:tab w:val="left" w:pos="851"/>
              </w:tabs>
              <w:spacing w:after="0" w:line="240" w:lineRule="auto"/>
              <w:ind w:left="0"/>
              <w:jc w:val="center"/>
              <w:rPr>
                <w:rFonts w:ascii="Times New Roman" w:eastAsia="Times New Roman" w:hAnsi="Times New Roman" w:cs="Times New Roman"/>
                <w:lang w:val="ro-RO"/>
              </w:rPr>
            </w:pPr>
            <w:r w:rsidRPr="003B2F0B">
              <w:rPr>
                <w:rFonts w:ascii="Times New Roman" w:eastAsia="Times New Roman" w:hAnsi="Times New Roman" w:cs="Times New Roman"/>
                <w:lang w:val="ro-RO"/>
              </w:rPr>
              <w:t xml:space="preserve">Confederația Națională a Sindicatelor din Moldova </w:t>
            </w:r>
            <w:r w:rsidRPr="007F4EDF">
              <w:rPr>
                <w:rFonts w:ascii="Times New Roman" w:eastAsia="Times New Roman" w:hAnsi="Times New Roman" w:cs="Times New Roman"/>
                <w:lang w:val="ro-RO"/>
              </w:rPr>
              <w:t>comunică despre lipsa propunerilor sau obiecțiilor la proiectul dat.</w:t>
            </w:r>
          </w:p>
        </w:tc>
      </w:tr>
      <w:tr w:rsidR="00A118AC" w:rsidRPr="00013A44" w14:paraId="3AE0DFDA" w14:textId="77777777" w:rsidTr="00A118AC">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7BA11E" w14:textId="731B0777" w:rsidR="00A118AC" w:rsidRPr="003B2F0B" w:rsidRDefault="00A118AC" w:rsidP="00A118AC">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3B2F0B">
              <w:rPr>
                <w:rFonts w:ascii="Times New Roman" w:eastAsia="Times New Roman" w:hAnsi="Times New Roman" w:cs="Times New Roman"/>
                <w:b/>
                <w:lang w:val="ro-RO"/>
              </w:rPr>
              <w:t xml:space="preserve">ML „ENERGY-GROUP” S.R.L. (aviz. nr 327 din 12.06.2026) </w:t>
            </w:r>
          </w:p>
        </w:tc>
      </w:tr>
      <w:tr w:rsidR="003E1B14" w:rsidRPr="00013A44" w14:paraId="39605271" w14:textId="77777777" w:rsidTr="000F79EB">
        <w:trPr>
          <w:jc w:val="center"/>
        </w:trPr>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F89405" w14:textId="74B80D9F" w:rsidR="00A51AF1" w:rsidRPr="007F4EDF" w:rsidRDefault="00A118AC"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537E3F" w14:textId="7EB5CFCF" w:rsidR="003E1B14" w:rsidRPr="007F4EDF" w:rsidRDefault="00A118AC" w:rsidP="00CC1418">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ML „ENERGY-GROUP”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1F2F72" w14:textId="1FF23A94" w:rsidR="003E1B14" w:rsidRPr="007F4EDF" w:rsidRDefault="00A118AC" w:rsidP="00F5220C">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2</w:t>
            </w:r>
          </w:p>
        </w:tc>
        <w:tc>
          <w:tcPr>
            <w:tcW w:w="2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8970E9" w14:textId="18BD7097" w:rsidR="00794959" w:rsidRPr="007F4EDF" w:rsidRDefault="00A118AC" w:rsidP="00130F07">
            <w:pPr>
              <w:pStyle w:val="ListParagraph"/>
              <w:numPr>
                <w:ilvl w:val="0"/>
                <w:numId w:val="1"/>
              </w:numPr>
              <w:spacing w:after="0" w:line="240" w:lineRule="auto"/>
              <w:ind w:left="250" w:hanging="176"/>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Propuneri privind diminuarea plafonului pentru energia electrică de echilibrare și a limitelor de preț utilizate la decontarea dezechilibrelor</w:t>
            </w:r>
          </w:p>
          <w:p w14:paraId="2D69DD4D" w14:textId="301714B5" w:rsidR="00A118AC" w:rsidRPr="007F4EDF" w:rsidRDefault="00A118AC" w:rsidP="00A118AC">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Considerăm oportună revizuirea în sensul reducerii plafoanelor de preț propuse de a fi aplicate pe piața de echilibrare și în procesul de decontare a dezechilibrelor, în vederea limitării riscurilor financiare excesive și alinierii mecanismelor de piață la principiile proporționalității și predictibilității.</w:t>
            </w:r>
          </w:p>
          <w:p w14:paraId="00822C24" w14:textId="77777777" w:rsidR="00A118AC" w:rsidRPr="007F4EDF" w:rsidRDefault="00A118AC" w:rsidP="00A118AC">
            <w:pPr>
              <w:spacing w:after="0" w:line="240" w:lineRule="auto"/>
              <w:jc w:val="both"/>
              <w:rPr>
                <w:rFonts w:ascii="Times New Roman" w:eastAsia="Times New Roman" w:hAnsi="Times New Roman" w:cs="Times New Roman"/>
                <w:bCs/>
                <w:lang w:val="ro-RO" w:eastAsia="ru-RU"/>
              </w:rPr>
            </w:pPr>
          </w:p>
          <w:p w14:paraId="71E1C0B1" w14:textId="77777777" w:rsidR="00A118AC" w:rsidRPr="007F4EDF" w:rsidRDefault="00A118AC" w:rsidP="00A118AC">
            <w:pPr>
              <w:spacing w:after="0" w:line="240" w:lineRule="auto"/>
              <w:jc w:val="both"/>
              <w:rPr>
                <w:rFonts w:ascii="Times New Roman" w:eastAsia="Times New Roman" w:hAnsi="Times New Roman" w:cs="Times New Roman"/>
                <w:bCs/>
                <w:u w:val="single"/>
                <w:lang w:val="ro-RO" w:eastAsia="ru-RU"/>
              </w:rPr>
            </w:pPr>
            <w:r w:rsidRPr="007F4EDF">
              <w:rPr>
                <w:rFonts w:ascii="Times New Roman" w:eastAsia="Times New Roman" w:hAnsi="Times New Roman" w:cs="Times New Roman"/>
                <w:bCs/>
                <w:u w:val="single"/>
                <w:lang w:val="ro-RO" w:eastAsia="ru-RU"/>
              </w:rPr>
              <w:t>Propunem reducerea plafoanelor pentru energia electrică de echilibrare:</w:t>
            </w:r>
          </w:p>
          <w:p w14:paraId="29C5F714" w14:textId="77777777" w:rsidR="00A118AC" w:rsidRPr="007F4EDF" w:rsidRDefault="00A118AC" w:rsidP="00A118AC">
            <w:pPr>
              <w:spacing w:after="0" w:line="240" w:lineRule="auto"/>
              <w:jc w:val="both"/>
              <w:rPr>
                <w:rFonts w:ascii="Times New Roman" w:eastAsia="Times New Roman" w:hAnsi="Times New Roman" w:cs="Times New Roman"/>
                <w:bCs/>
                <w:u w:val="single"/>
                <w:lang w:val="ro-RO" w:eastAsia="ru-RU"/>
              </w:rPr>
            </w:pPr>
          </w:p>
          <w:p w14:paraId="660EA224" w14:textId="59D4819F" w:rsidR="00A118AC" w:rsidRPr="007F4EDF" w:rsidRDefault="00A118AC" w:rsidP="00A118AC">
            <w:pPr>
              <w:spacing w:after="0" w:line="240" w:lineRule="auto"/>
              <w:ind w:left="108" w:hanging="108"/>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de la (+) 10 000 lei/MWh la (+) 8 000 lei/MWh pentru energia electrică de  echilibrare la creștere de putere (RRFa, RRFm și RÎ);</w:t>
            </w:r>
          </w:p>
          <w:p w14:paraId="06EE7DA6" w14:textId="77777777" w:rsidR="00A118AC" w:rsidRPr="007F4EDF" w:rsidRDefault="00A118AC" w:rsidP="00A118AC">
            <w:pPr>
              <w:spacing w:after="0" w:line="240" w:lineRule="auto"/>
              <w:ind w:left="108" w:hanging="108"/>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 de la (-) 10 000 lei/MWh la (-) 8 000 lei/MWh pentru energia electrică de echilibrare la reducere de putere (RRFa, RRFm și RÎ).</w:t>
            </w:r>
          </w:p>
          <w:p w14:paraId="4FB6D2A6" w14:textId="77777777" w:rsidR="00A118AC" w:rsidRPr="007F4EDF" w:rsidRDefault="00A118AC" w:rsidP="00A118AC">
            <w:pPr>
              <w:spacing w:after="0" w:line="240" w:lineRule="auto"/>
              <w:ind w:left="108" w:hanging="108"/>
              <w:jc w:val="both"/>
              <w:rPr>
                <w:rFonts w:ascii="Times New Roman" w:eastAsia="Times New Roman" w:hAnsi="Times New Roman" w:cs="Times New Roman"/>
                <w:bCs/>
                <w:lang w:val="ro-RO" w:eastAsia="ru-RU"/>
              </w:rPr>
            </w:pPr>
          </w:p>
          <w:p w14:paraId="19231113" w14:textId="77777777" w:rsidR="00A118AC" w:rsidRPr="007F4EDF" w:rsidRDefault="00A118AC" w:rsidP="00A118AC">
            <w:pPr>
              <w:spacing w:after="0" w:line="240" w:lineRule="auto"/>
              <w:ind w:left="108" w:hanging="108"/>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Argumentare:</w:t>
            </w:r>
          </w:p>
          <w:p w14:paraId="42011910" w14:textId="4BEFEF48" w:rsidR="00A118AC" w:rsidRPr="007F4EDF" w:rsidRDefault="00A118AC" w:rsidP="00A118AC">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 Plafoanele prezentate în proiect le apreciem disproporționat de ridicate în   raport cu nivelurile înregistrate pe piețele regionale și cu costurile efective ale resurselor de echilibrare disponibile în Republica Moldova.</w:t>
            </w:r>
          </w:p>
          <w:p w14:paraId="054546DC" w14:textId="26C9D43F" w:rsidR="00A118AC" w:rsidRPr="007F4EDF" w:rsidRDefault="00A118AC" w:rsidP="00A118AC">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b) Totodată, menținerea unor limite foarte înalte poate genera expuneri financiare excesive pentru participanții la piață, în special pentru furnizori și părțile responsabile cu echilibrarea care activează într-o piață aflată, de facto, încă în proces de maturizare.</w:t>
            </w:r>
          </w:p>
          <w:p w14:paraId="3EFA0AF6" w14:textId="77777777" w:rsidR="00A118AC" w:rsidRPr="007F4EDF" w:rsidRDefault="00A118AC"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c) Reducerea plafonului nu elimină semnalul economic necesar pentru </w:t>
            </w:r>
            <w:r w:rsidR="00384051" w:rsidRPr="007F4EDF">
              <w:rPr>
                <w:rFonts w:ascii="Times New Roman" w:eastAsia="Times New Roman" w:hAnsi="Times New Roman" w:cs="Times New Roman"/>
                <w:bCs/>
                <w:lang w:val="ro-RO" w:eastAsia="ru-RU"/>
              </w:rPr>
              <w:t xml:space="preserve"> </w:t>
            </w:r>
            <w:r w:rsidRPr="007F4EDF">
              <w:rPr>
                <w:rFonts w:ascii="Times New Roman" w:eastAsia="Times New Roman" w:hAnsi="Times New Roman" w:cs="Times New Roman"/>
                <w:bCs/>
                <w:lang w:val="ro-RO" w:eastAsia="ru-RU"/>
              </w:rPr>
              <w:t>asigurarea disciplinei de</w:t>
            </w:r>
            <w:r w:rsidR="00384051" w:rsidRPr="007F4EDF">
              <w:rPr>
                <w:rFonts w:ascii="Times New Roman" w:eastAsia="Times New Roman" w:hAnsi="Times New Roman" w:cs="Times New Roman"/>
                <w:bCs/>
                <w:lang w:val="ro-RO" w:eastAsia="ru-RU"/>
              </w:rPr>
              <w:t xml:space="preserve"> </w:t>
            </w:r>
            <w:r w:rsidRPr="007F4EDF">
              <w:rPr>
                <w:rFonts w:ascii="Times New Roman" w:eastAsia="Times New Roman" w:hAnsi="Times New Roman" w:cs="Times New Roman"/>
                <w:bCs/>
                <w:lang w:val="ro-RO" w:eastAsia="ru-RU"/>
              </w:rPr>
              <w:t>piață, însă previne apariția unor costuri excepționale care pot a</w:t>
            </w:r>
            <w:r w:rsidR="00384051" w:rsidRPr="007F4EDF">
              <w:rPr>
                <w:rFonts w:ascii="Times New Roman" w:eastAsia="Times New Roman" w:hAnsi="Times New Roman" w:cs="Times New Roman"/>
                <w:bCs/>
                <w:lang w:val="ro-RO" w:eastAsia="ru-RU"/>
              </w:rPr>
              <w:t xml:space="preserve">fecta stabilitatea financiară a </w:t>
            </w:r>
            <w:r w:rsidRPr="007F4EDF">
              <w:rPr>
                <w:rFonts w:ascii="Times New Roman" w:eastAsia="Times New Roman" w:hAnsi="Times New Roman" w:cs="Times New Roman"/>
                <w:bCs/>
                <w:lang w:val="ro-RO" w:eastAsia="ru-RU"/>
              </w:rPr>
              <w:t>participanților și, indirect, consumatorii finali.</w:t>
            </w:r>
          </w:p>
          <w:p w14:paraId="236EE03C" w14:textId="77777777"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d) O limită de 8 000 lei/MWh continuă să ofere suficiente stimulente economice pentru disponibilitatea resurselor de echilibrare și pentru respectarea obligațiilor de prognoză și echilibrare.</w:t>
            </w:r>
          </w:p>
          <w:p w14:paraId="777E7E2B" w14:textId="77777777"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p>
          <w:p w14:paraId="74462FEF" w14:textId="77777777" w:rsidR="00384051" w:rsidRPr="007F4EDF" w:rsidRDefault="00384051" w:rsidP="00384051">
            <w:pPr>
              <w:spacing w:after="0" w:line="240" w:lineRule="auto"/>
              <w:ind w:left="250" w:hanging="250"/>
              <w:jc w:val="both"/>
              <w:rPr>
                <w:rFonts w:ascii="Times New Roman" w:eastAsia="Times New Roman" w:hAnsi="Times New Roman" w:cs="Times New Roman"/>
                <w:bCs/>
                <w:u w:val="single"/>
                <w:lang w:val="ro-RO" w:eastAsia="ru-RU"/>
              </w:rPr>
            </w:pPr>
            <w:r w:rsidRPr="007F4EDF">
              <w:rPr>
                <w:rFonts w:ascii="Times New Roman" w:eastAsia="Times New Roman" w:hAnsi="Times New Roman" w:cs="Times New Roman"/>
                <w:bCs/>
                <w:u w:val="single"/>
                <w:lang w:val="ro-RO" w:eastAsia="ru-RU"/>
              </w:rPr>
              <w:t>Susținem diminuarea limitelor de preț utilizate la decontarea dezechilibrelor</w:t>
            </w:r>
          </w:p>
          <w:p w14:paraId="63482435" w14:textId="77777777" w:rsidR="00384051" w:rsidRPr="007F4EDF" w:rsidRDefault="00384051" w:rsidP="00384051">
            <w:pPr>
              <w:spacing w:after="0" w:line="240" w:lineRule="auto"/>
              <w:ind w:left="250" w:hanging="250"/>
              <w:jc w:val="both"/>
              <w:rPr>
                <w:rFonts w:ascii="Times New Roman" w:eastAsia="Times New Roman" w:hAnsi="Times New Roman" w:cs="Times New Roman"/>
                <w:bCs/>
                <w:u w:val="single"/>
                <w:lang w:val="ro-RO" w:eastAsia="ru-RU"/>
              </w:rPr>
            </w:pPr>
          </w:p>
          <w:p w14:paraId="73F98AE9" w14:textId="77777777" w:rsidR="00384051" w:rsidRPr="007F4EDF" w:rsidRDefault="00384051" w:rsidP="00384051">
            <w:pPr>
              <w:spacing w:after="0" w:line="240" w:lineRule="auto"/>
              <w:ind w:left="250" w:hanging="250"/>
              <w:jc w:val="both"/>
              <w:rPr>
                <w:rFonts w:ascii="Times New Roman" w:eastAsia="Times New Roman" w:hAnsi="Times New Roman" w:cs="Times New Roman"/>
                <w:bCs/>
                <w:u w:val="single"/>
                <w:lang w:val="ro-RO" w:eastAsia="ru-RU"/>
              </w:rPr>
            </w:pPr>
            <w:r w:rsidRPr="007F4EDF">
              <w:rPr>
                <w:rFonts w:ascii="Times New Roman" w:eastAsia="Times New Roman" w:hAnsi="Times New Roman" w:cs="Times New Roman"/>
                <w:bCs/>
                <w:u w:val="single"/>
                <w:lang w:val="ro-RO" w:eastAsia="ru-RU"/>
              </w:rPr>
              <w:t>Propunem reducerea:</w:t>
            </w:r>
          </w:p>
          <w:p w14:paraId="4752F8B1" w14:textId="18E7FE34"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limitei prețului pozitiv de la (+) 15 000 lei/MWh la (+) 10 000 lei/MWh;</w:t>
            </w:r>
          </w:p>
          <w:p w14:paraId="2DF32CB5" w14:textId="77777777"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limitei prețului negativ de la (-) 15 000 lei/MWh la (-) 10 000 lei/MWh.</w:t>
            </w:r>
          </w:p>
          <w:p w14:paraId="54C9B3C1" w14:textId="77777777"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p>
          <w:p w14:paraId="5901DF15" w14:textId="77777777" w:rsidR="00384051" w:rsidRPr="007F4EDF" w:rsidRDefault="00384051" w:rsidP="00384051">
            <w:pPr>
              <w:spacing w:after="0" w:line="240" w:lineRule="auto"/>
              <w:ind w:left="108" w:hanging="108"/>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Argumentare:</w:t>
            </w:r>
          </w:p>
          <w:p w14:paraId="2CA17EE4" w14:textId="1A27B4F7"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 Diferența semnificativă dintre plafonul energiei de echilibrare și plafonul utilizat la decontarea dezechilibrelor poate conduce la transferarea unor riscuri financiare excesive către participanții la piață, fără a produce beneficii suplimentare pentru funcționarea sistemului.</w:t>
            </w:r>
          </w:p>
          <w:p w14:paraId="7D9854F6" w14:textId="1FBB0B68"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b) Limitele propuse de ±15 000 lei/MWh pot genera costuri neprevăzute și dificil de gestionat pentru participanții la piață, afectând lichiditatea și capacitatea acestora de a-și desfășura activitatea în condiții de concurență echitabilă.</w:t>
            </w:r>
          </w:p>
          <w:p w14:paraId="1FE8A42B" w14:textId="3D4CC4F8"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c) Reducerea limitelor la ±10 000 lei/MWh contribuie la creșterea predictibilității costurilor și la reducerea riscului de insolvență al participanților în situații excepționale de dezechilibru.</w:t>
            </w:r>
          </w:p>
          <w:p w14:paraId="747ED765" w14:textId="711708CD"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d) O piață de echilibrare eficientă trebuie să transmită semnale de preț adecvate, însă aceste semnale trebuie să rămână proporționale cu dimensiunea și gradul de dezvoltare al pieței naționale de</w:t>
            </w:r>
          </w:p>
          <w:p w14:paraId="411A405E" w14:textId="33942DD0" w:rsidR="00384051" w:rsidRPr="007F4EDF" w:rsidRDefault="00384051" w:rsidP="00384051">
            <w:pPr>
              <w:spacing w:after="0" w:line="240" w:lineRule="auto"/>
              <w:ind w:left="250" w:hanging="25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     energie electrică.</w:t>
            </w:r>
          </w:p>
          <w:p w14:paraId="7B6C0C37" w14:textId="4BD96F5F" w:rsidR="00384051" w:rsidRPr="007F4EDF" w:rsidRDefault="00384051" w:rsidP="00384051">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Considerăm că aceste modificări vor contribui la dezvoltarea unei piețe de echilibrare mai stabile, mai predictibile și mai bine adaptate condițiilor actuale ale sectorului electroenergetic din Republica Moldova.</w:t>
            </w:r>
          </w:p>
        </w:tc>
        <w:tc>
          <w:tcPr>
            <w:tcW w:w="11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3FA4" w14:textId="53A5FE6A" w:rsidR="000E52C7" w:rsidRPr="003B2F0B" w:rsidRDefault="000E52C7" w:rsidP="000E52C7">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Se acceptă</w:t>
            </w:r>
            <w:r w:rsidR="00C406BD" w:rsidRPr="003B2F0B">
              <w:rPr>
                <w:rFonts w:ascii="Times New Roman" w:eastAsia="Times New Roman" w:hAnsi="Times New Roman" w:cs="Times New Roman"/>
                <w:b/>
                <w:lang w:val="ro-RO"/>
              </w:rPr>
              <w:t xml:space="preserve"> parțial</w:t>
            </w:r>
            <w:r w:rsidRPr="003B2F0B">
              <w:rPr>
                <w:rFonts w:ascii="Times New Roman" w:eastAsia="Times New Roman" w:hAnsi="Times New Roman" w:cs="Times New Roman"/>
                <w:b/>
                <w:lang w:val="ro-RO"/>
              </w:rPr>
              <w:t xml:space="preserve">. </w:t>
            </w:r>
          </w:p>
          <w:p w14:paraId="5DDF4BFF" w14:textId="77777777" w:rsidR="000E52C7" w:rsidRPr="003B2F0B" w:rsidRDefault="000E52C7" w:rsidP="000E52C7">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A73522C" w14:textId="7EBB88EF" w:rsidR="000E52C7" w:rsidRPr="003B2F0B" w:rsidRDefault="000E52C7" w:rsidP="000E52C7">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Astfel</w:t>
            </w:r>
            <w:r w:rsidR="00E075B4">
              <w:rPr>
                <w:rFonts w:ascii="Times New Roman" w:eastAsia="Times New Roman" w:hAnsi="Times New Roman" w:cs="Times New Roman"/>
                <w:lang w:val="ro-RO"/>
              </w:rPr>
              <w:t>,</w:t>
            </w:r>
            <w:r w:rsidRPr="003B2F0B">
              <w:rPr>
                <w:rFonts w:ascii="Times New Roman" w:eastAsia="Times New Roman" w:hAnsi="Times New Roman" w:cs="Times New Roman"/>
                <w:lang w:val="ro-RO"/>
              </w:rPr>
              <w:t xml:space="preserve"> se propune aplicarea următoarelor valori: </w:t>
            </w:r>
          </w:p>
          <w:p w14:paraId="15244857" w14:textId="77777777" w:rsidR="000E52C7" w:rsidRPr="003B2F0B" w:rsidRDefault="000E52C7" w:rsidP="000E52C7">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BF7E9BA" w14:textId="77777777" w:rsidR="000E52C7" w:rsidRPr="003B2F0B" w:rsidRDefault="000E52C7" w:rsidP="000E52C7">
            <w:pPr>
              <w:tabs>
                <w:tab w:val="left" w:pos="627"/>
                <w:tab w:val="left" w:pos="851"/>
              </w:tabs>
              <w:spacing w:after="0" w:line="240" w:lineRule="auto"/>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 xml:space="preserve">1.1 pentru energia electrică de echilibrare la creștere de putere – </w:t>
            </w:r>
            <w:r w:rsidRPr="003B2F0B">
              <w:rPr>
                <w:rFonts w:ascii="Times New Roman" w:eastAsia="Times New Roman" w:hAnsi="Times New Roman" w:cs="Times New Roman"/>
                <w:b/>
                <w:lang w:val="ro-RO"/>
              </w:rPr>
              <w:t>(+) 8 000 lei/MWh;</w:t>
            </w:r>
          </w:p>
          <w:p w14:paraId="60CE6048" w14:textId="77777777" w:rsidR="000E52C7" w:rsidRPr="003B2F0B" w:rsidRDefault="000E52C7" w:rsidP="000E52C7">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lang w:val="ro-RO"/>
              </w:rPr>
              <w:t>1.2.</w:t>
            </w:r>
            <w:r w:rsidRPr="003B2F0B">
              <w:rPr>
                <w:rFonts w:ascii="Times New Roman" w:eastAsia="Times New Roman" w:hAnsi="Times New Roman" w:cs="Times New Roman"/>
                <w:lang w:val="ro-RO"/>
              </w:rPr>
              <w:tab/>
              <w:t xml:space="preserve"> pentru energia electrică de echilibrare la reducere de putere – (-) </w:t>
            </w:r>
            <w:r w:rsidRPr="003B2F0B">
              <w:rPr>
                <w:rFonts w:ascii="Times New Roman" w:eastAsia="Times New Roman" w:hAnsi="Times New Roman" w:cs="Times New Roman"/>
                <w:b/>
                <w:lang w:val="ro-RO"/>
              </w:rPr>
              <w:t>8 000 lei/MWh.</w:t>
            </w:r>
          </w:p>
          <w:p w14:paraId="68509095" w14:textId="77777777" w:rsidR="000E52C7" w:rsidRPr="003B2F0B" w:rsidRDefault="000E52C7" w:rsidP="000E52C7">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75C78994" w14:textId="76F3437B" w:rsidR="000E52C7" w:rsidRPr="003B2F0B" w:rsidRDefault="000E52C7" w:rsidP="000E52C7">
            <w:pPr>
              <w:tabs>
                <w:tab w:val="left" w:pos="627"/>
                <w:tab w:val="left" w:pos="851"/>
              </w:tabs>
              <w:spacing w:after="0" w:line="240" w:lineRule="auto"/>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2.1.</w:t>
            </w:r>
            <w:r w:rsidRPr="003B2F0B">
              <w:rPr>
                <w:rFonts w:ascii="Times New Roman" w:eastAsia="Times New Roman" w:hAnsi="Times New Roman" w:cs="Times New Roman"/>
                <w:lang w:val="ro-RO"/>
              </w:rPr>
              <w:tab/>
              <w:t xml:space="preserve"> Limita de preț pozitiv - (+) </w:t>
            </w:r>
            <w:r w:rsidRPr="003B2F0B">
              <w:rPr>
                <w:rFonts w:ascii="Times New Roman" w:eastAsia="Times New Roman" w:hAnsi="Times New Roman" w:cs="Times New Roman"/>
                <w:b/>
                <w:lang w:val="ro-RO"/>
              </w:rPr>
              <w:t>1</w:t>
            </w:r>
            <w:r w:rsidR="00C406BD" w:rsidRPr="003B2F0B">
              <w:rPr>
                <w:rFonts w:ascii="Times New Roman" w:eastAsia="Times New Roman" w:hAnsi="Times New Roman" w:cs="Times New Roman"/>
                <w:b/>
                <w:lang w:val="ro-RO"/>
              </w:rPr>
              <w:t>2</w:t>
            </w:r>
            <w:r w:rsidRPr="003B2F0B">
              <w:rPr>
                <w:rFonts w:ascii="Times New Roman" w:eastAsia="Times New Roman" w:hAnsi="Times New Roman" w:cs="Times New Roman"/>
                <w:b/>
                <w:lang w:val="ro-RO"/>
              </w:rPr>
              <w:t xml:space="preserve"> 000 lei/MWh;</w:t>
            </w:r>
          </w:p>
          <w:p w14:paraId="02F5F0B9" w14:textId="184DBF45" w:rsidR="000E52C7" w:rsidRPr="003B2F0B" w:rsidRDefault="000E52C7" w:rsidP="000E52C7">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2.2.</w:t>
            </w:r>
            <w:r w:rsidRPr="003B2F0B">
              <w:rPr>
                <w:rFonts w:ascii="Times New Roman" w:eastAsia="Times New Roman" w:hAnsi="Times New Roman" w:cs="Times New Roman"/>
                <w:lang w:val="ro-RO"/>
              </w:rPr>
              <w:tab/>
              <w:t xml:space="preserve"> Limita de preț negativ - (-) </w:t>
            </w:r>
            <w:r w:rsidRPr="003B2F0B">
              <w:rPr>
                <w:rFonts w:ascii="Times New Roman" w:eastAsia="Times New Roman" w:hAnsi="Times New Roman" w:cs="Times New Roman"/>
                <w:b/>
                <w:lang w:val="ro-RO"/>
              </w:rPr>
              <w:t>1</w:t>
            </w:r>
            <w:r w:rsidR="00C406BD" w:rsidRPr="003B2F0B">
              <w:rPr>
                <w:rFonts w:ascii="Times New Roman" w:eastAsia="Times New Roman" w:hAnsi="Times New Roman" w:cs="Times New Roman"/>
                <w:b/>
                <w:lang w:val="ro-RO"/>
              </w:rPr>
              <w:t>2</w:t>
            </w:r>
            <w:r w:rsidRPr="003B2F0B">
              <w:rPr>
                <w:rFonts w:ascii="Times New Roman" w:eastAsia="Times New Roman" w:hAnsi="Times New Roman" w:cs="Times New Roman"/>
                <w:b/>
                <w:lang w:val="ro-RO"/>
              </w:rPr>
              <w:t xml:space="preserve"> 000 lei/MWh.</w:t>
            </w:r>
          </w:p>
          <w:p w14:paraId="7B1D9815" w14:textId="77777777" w:rsidR="003E1B14" w:rsidRPr="003B2F0B" w:rsidRDefault="003E1B14" w:rsidP="003A4AA5">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tc>
      </w:tr>
      <w:tr w:rsidR="003E1B14" w:rsidRPr="00013A44" w14:paraId="42366D8D" w14:textId="77777777" w:rsidTr="000F79EB">
        <w:trPr>
          <w:jc w:val="center"/>
        </w:trPr>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4799C9" w14:textId="29B8FECA" w:rsidR="00B744C5" w:rsidRPr="007F4EDF" w:rsidRDefault="000E6027"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La hotărâre</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E37A9A" w14:textId="4886FEF0" w:rsidR="003E1B14" w:rsidRPr="007F4EDF" w:rsidRDefault="000E6027" w:rsidP="00CC1418">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ML „ENERGY-GROUP”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E343D6" w14:textId="7DEF2988" w:rsidR="003E1B14" w:rsidRPr="007F4EDF" w:rsidRDefault="000E6027" w:rsidP="00F5220C">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3</w:t>
            </w:r>
          </w:p>
        </w:tc>
        <w:tc>
          <w:tcPr>
            <w:tcW w:w="2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55209E" w14:textId="77777777" w:rsidR="00EA4BED" w:rsidRPr="007F4EDF" w:rsidRDefault="000E6027" w:rsidP="00EA4BED">
            <w:p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II . Propunere privind modificarea datei de intrare în vigoare a hotărârii</w:t>
            </w:r>
          </w:p>
          <w:p w14:paraId="5478E2B3" w14:textId="77777777" w:rsidR="000E6027" w:rsidRPr="007F4EDF" w:rsidRDefault="000E6027" w:rsidP="00EA4BED">
            <w:pPr>
              <w:spacing w:after="0" w:line="240" w:lineRule="auto"/>
              <w:jc w:val="both"/>
              <w:rPr>
                <w:rFonts w:ascii="Times New Roman" w:eastAsia="Times New Roman" w:hAnsi="Times New Roman" w:cs="Times New Roman"/>
                <w:b/>
                <w:bCs/>
                <w:lang w:val="ro-RO" w:eastAsia="ru-RU"/>
              </w:rPr>
            </w:pPr>
          </w:p>
          <w:p w14:paraId="28BB3906" w14:textId="77777777" w:rsidR="000E6027" w:rsidRPr="007F4EDF" w:rsidRDefault="000E6027" w:rsidP="000E6027">
            <w:p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Cs/>
                <w:lang w:val="ro-RO" w:eastAsia="ru-RU"/>
              </w:rPr>
              <w:t xml:space="preserve">Propunem modificarea datei de intrare în vigoare a hotărârii invocate din </w:t>
            </w:r>
            <w:r w:rsidRPr="007F4EDF">
              <w:rPr>
                <w:rFonts w:ascii="Times New Roman" w:eastAsia="Times New Roman" w:hAnsi="Times New Roman" w:cs="Times New Roman"/>
                <w:b/>
                <w:bCs/>
                <w:lang w:val="ro-RO" w:eastAsia="ru-RU"/>
              </w:rPr>
              <w:t>1 iulie 2026 în 1 septembrie 2026.</w:t>
            </w:r>
          </w:p>
          <w:p w14:paraId="30377C51" w14:textId="77777777" w:rsidR="000E6027" w:rsidRPr="007F4EDF" w:rsidRDefault="000E6027" w:rsidP="000E6027">
            <w:pPr>
              <w:spacing w:after="0" w:line="240" w:lineRule="auto"/>
              <w:jc w:val="both"/>
              <w:rPr>
                <w:rFonts w:ascii="Times New Roman" w:eastAsia="Times New Roman" w:hAnsi="Times New Roman" w:cs="Times New Roman"/>
                <w:b/>
                <w:bCs/>
                <w:lang w:val="ro-RO" w:eastAsia="ru-RU"/>
              </w:rPr>
            </w:pPr>
          </w:p>
          <w:p w14:paraId="060BF771" w14:textId="77777777" w:rsidR="000E6027" w:rsidRPr="007F4EDF" w:rsidRDefault="000E6027" w:rsidP="000E6027">
            <w:p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Argumentarea propuneri:</w:t>
            </w:r>
          </w:p>
          <w:p w14:paraId="36667019" w14:textId="77777777" w:rsidR="000E6027" w:rsidRPr="007F4EDF" w:rsidRDefault="000E6027" w:rsidP="000E6027">
            <w:pPr>
              <w:spacing w:after="0" w:line="240" w:lineRule="auto"/>
              <w:jc w:val="both"/>
              <w:rPr>
                <w:rFonts w:ascii="Times New Roman" w:eastAsia="Times New Roman" w:hAnsi="Times New Roman" w:cs="Times New Roman"/>
                <w:b/>
                <w:bCs/>
                <w:lang w:val="ro-RO" w:eastAsia="ru-RU"/>
              </w:rPr>
            </w:pPr>
          </w:p>
          <w:p w14:paraId="5C802C1A" w14:textId="77777777" w:rsidR="000E6027" w:rsidRPr="007F4EDF" w:rsidRDefault="000E6027" w:rsidP="00130F07">
            <w:pPr>
              <w:pStyle w:val="ListParagraph"/>
              <w:numPr>
                <w:ilvl w:val="0"/>
                <w:numId w:val="2"/>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Asigurarea unei perioade rezonabile de adaptare pentru participanții la piață</w:t>
            </w:r>
          </w:p>
          <w:p w14:paraId="3CC8EF7C" w14:textId="77777777" w:rsidR="000E6027" w:rsidRPr="007F4EDF" w:rsidRDefault="000E6027" w:rsidP="000E6027">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Modificarea plafoanelor de preț pentru energia electrică de echilibrare și pentru decontarea dezechilibrelor are impact direct asupra strategiilor comerciale, politicilor de gestionare a riscurilor, prognozelor de consum și producere, precum și asupra mecanismelor interne de monitorizare și raportare utilizate de participanții la piață. O perioadă de numai câteva săptămâni între aprobarea și aplicarea noilor reguli nu oferă suficient timp pentru adaptarea proceselor operaționale și comerciale.</w:t>
            </w:r>
          </w:p>
          <w:p w14:paraId="03C28C07" w14:textId="77777777" w:rsidR="000E6027" w:rsidRPr="007F4EDF" w:rsidRDefault="000E6027" w:rsidP="000E6027">
            <w:pPr>
              <w:spacing w:after="0" w:line="240" w:lineRule="auto"/>
              <w:jc w:val="both"/>
              <w:rPr>
                <w:rFonts w:ascii="Times New Roman" w:eastAsia="Times New Roman" w:hAnsi="Times New Roman" w:cs="Times New Roman"/>
                <w:bCs/>
                <w:lang w:val="ro-RO" w:eastAsia="ru-RU"/>
              </w:rPr>
            </w:pPr>
          </w:p>
          <w:p w14:paraId="760D6F29" w14:textId="77777777" w:rsidR="000E6027" w:rsidRPr="007F4EDF" w:rsidRDefault="000E6027" w:rsidP="00130F07">
            <w:pPr>
              <w:pStyle w:val="ListParagraph"/>
              <w:numPr>
                <w:ilvl w:val="0"/>
                <w:numId w:val="2"/>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Necesitatea ajustării sistemelor informatice și a procedurilor interne</w:t>
            </w:r>
          </w:p>
          <w:p w14:paraId="44301F57" w14:textId="77777777" w:rsidR="000E6027" w:rsidRPr="007F4EDF" w:rsidRDefault="000E6027" w:rsidP="000E6027">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Participanții la piață și operatorii implicați în procesele de echilibrare trebuie să efectueze modificări în sistemele informatice, algoritmii de calcul, procedurile de management al riscurilor și documentația internă. Implementarea unor asemenea modificări necesită testare și validare pentru a evita erori în procesul de decontare și raportare.</w:t>
            </w:r>
          </w:p>
          <w:p w14:paraId="7E838255" w14:textId="77777777" w:rsidR="000E6027" w:rsidRPr="007F4EDF" w:rsidRDefault="000E6027" w:rsidP="000E6027">
            <w:pPr>
              <w:spacing w:after="0" w:line="240" w:lineRule="auto"/>
              <w:jc w:val="both"/>
              <w:rPr>
                <w:rFonts w:ascii="Times New Roman" w:eastAsia="Times New Roman" w:hAnsi="Times New Roman" w:cs="Times New Roman"/>
                <w:bCs/>
                <w:lang w:val="ro-RO" w:eastAsia="ru-RU"/>
              </w:rPr>
            </w:pPr>
          </w:p>
          <w:p w14:paraId="63FCF1C1" w14:textId="77777777" w:rsidR="000E6027" w:rsidRPr="007F4EDF" w:rsidRDefault="000E6027" w:rsidP="00130F07">
            <w:pPr>
              <w:pStyle w:val="ListParagraph"/>
              <w:numPr>
                <w:ilvl w:val="0"/>
                <w:numId w:val="2"/>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Reducerea riscului de perturbare a activității pieței</w:t>
            </w:r>
          </w:p>
          <w:p w14:paraId="6482FA31" w14:textId="77777777" w:rsidR="000E6027" w:rsidRPr="007F4EDF" w:rsidRDefault="000E6027" w:rsidP="000E6027">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Intrarea în vigoare la 1 iulie 2026 coincide cu începutul semestrului II al anului și cu perioada în care participanții au deja asumate angajamente contractuale și prognoze financiare elaborate în baza cadrului de reglementare existent. Aplicarea modificărilor începând cu 1 septembrie 2026 ar permite o </w:t>
            </w:r>
            <w:r w:rsidRPr="007F4EDF">
              <w:rPr>
                <w:rFonts w:ascii="Times New Roman" w:eastAsia="Times New Roman" w:hAnsi="Times New Roman" w:cs="Times New Roman"/>
                <w:bCs/>
                <w:lang w:val="ro-RO" w:eastAsia="ru-RU"/>
              </w:rPr>
              <w:lastRenderedPageBreak/>
              <w:t>tranziție mai ordonată și ar reduce riscul apariției unor efecte neprevăzute asupra activității pieței.</w:t>
            </w:r>
          </w:p>
          <w:p w14:paraId="155FEE49" w14:textId="77777777" w:rsidR="000E6027" w:rsidRPr="007F4EDF" w:rsidRDefault="000E6027" w:rsidP="000E6027">
            <w:pPr>
              <w:spacing w:after="0" w:line="240" w:lineRule="auto"/>
              <w:jc w:val="both"/>
              <w:rPr>
                <w:rFonts w:ascii="Times New Roman" w:eastAsia="Times New Roman" w:hAnsi="Times New Roman" w:cs="Times New Roman"/>
                <w:bCs/>
                <w:lang w:val="ro-RO" w:eastAsia="ru-RU"/>
              </w:rPr>
            </w:pPr>
          </w:p>
          <w:p w14:paraId="772EB733" w14:textId="77777777" w:rsidR="000E6027" w:rsidRPr="007F4EDF" w:rsidRDefault="000E6027" w:rsidP="00130F07">
            <w:pPr>
              <w:pStyle w:val="ListParagraph"/>
              <w:numPr>
                <w:ilvl w:val="0"/>
                <w:numId w:val="2"/>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Respectarea principiilor predictibilității și securității juridice</w:t>
            </w:r>
          </w:p>
          <w:p w14:paraId="29864F19" w14:textId="77777777" w:rsidR="000361F2" w:rsidRPr="007F4EDF" w:rsidRDefault="000361F2" w:rsidP="000361F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Un termen mai extins între aprobarea și aplicarea noilor prevederi este în concordanță cu principiile predictibilității reglementării și securității juridice, oferind tuturor participanților condiții egale pentru adaptarea la noul cadru normativ.</w:t>
            </w:r>
          </w:p>
          <w:p w14:paraId="186F26DA" w14:textId="77777777" w:rsidR="000361F2" w:rsidRPr="007F4EDF" w:rsidRDefault="000361F2" w:rsidP="000361F2">
            <w:pPr>
              <w:spacing w:after="0" w:line="240" w:lineRule="auto"/>
              <w:jc w:val="both"/>
              <w:rPr>
                <w:rFonts w:ascii="Times New Roman" w:eastAsia="Times New Roman" w:hAnsi="Times New Roman" w:cs="Times New Roman"/>
                <w:bCs/>
                <w:lang w:val="ro-RO" w:eastAsia="ru-RU"/>
              </w:rPr>
            </w:pPr>
          </w:p>
          <w:p w14:paraId="6174659B" w14:textId="77777777" w:rsidR="000361F2" w:rsidRPr="007F4EDF" w:rsidRDefault="000361F2" w:rsidP="000361F2">
            <w:p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Propunere</w:t>
            </w:r>
          </w:p>
          <w:p w14:paraId="65F022F4" w14:textId="77777777" w:rsidR="000361F2" w:rsidRPr="007F4EDF" w:rsidRDefault="000361F2" w:rsidP="000361F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consecință, se propune ca hotărârea să intre în vigoare la data de 1 septembrie 2026, în loc de 1 iulie 2026, pentru a asigura implementarea eficientă și uniformă a noilor prevederi de către toți participanții la piața energiei electrice.</w:t>
            </w:r>
          </w:p>
          <w:p w14:paraId="04B25A7F" w14:textId="77777777" w:rsidR="000361F2" w:rsidRPr="007F4EDF" w:rsidRDefault="000361F2" w:rsidP="000361F2">
            <w:pPr>
              <w:spacing w:after="0" w:line="240" w:lineRule="auto"/>
              <w:jc w:val="both"/>
              <w:rPr>
                <w:rFonts w:ascii="Times New Roman" w:eastAsia="Times New Roman" w:hAnsi="Times New Roman" w:cs="Times New Roman"/>
                <w:bCs/>
                <w:lang w:val="ro-RO" w:eastAsia="ru-RU"/>
              </w:rPr>
            </w:pPr>
          </w:p>
          <w:p w14:paraId="20993996" w14:textId="77777777" w:rsidR="000361F2" w:rsidRPr="007F4EDF" w:rsidRDefault="000361F2" w:rsidP="000361F2">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
                <w:bCs/>
                <w:u w:val="single"/>
                <w:lang w:val="ro-RO" w:eastAsia="ru-RU"/>
              </w:rPr>
              <w:t>SUPLIMENTAR,</w:t>
            </w:r>
            <w:r w:rsidRPr="007F4EDF">
              <w:rPr>
                <w:rFonts w:ascii="Times New Roman" w:eastAsia="Times New Roman" w:hAnsi="Times New Roman" w:cs="Times New Roman"/>
                <w:bCs/>
                <w:lang w:val="ro-RO" w:eastAsia="ru-RU"/>
              </w:rPr>
              <w:t xml:space="preserve">  pentru a asigura aplicarea sincronizată a actelor normative care reglementează piața de echilibrare, precum și în vederea asigurării unei implementări coerente și eficiente a modificărilor propuse pe piața de echilibrare, propunem ca data de intrare în vigoare a prezentului proiect de hotărâre să fie corelată cu data de intrare în vigoare a Proiectului de hotărâre cu privire la modificarea Regulamentului privind clauzele și condițiile pentru părțile responsabile pentru echilibrare, aprobat prin Hotărârea Consiliului de administrație nr. 853/2025, fiind stabilită pentru ambele acte normative data de </w:t>
            </w:r>
            <w:r w:rsidRPr="007F4EDF">
              <w:rPr>
                <w:rFonts w:ascii="Times New Roman" w:eastAsia="Times New Roman" w:hAnsi="Times New Roman" w:cs="Times New Roman"/>
                <w:b/>
                <w:bCs/>
                <w:lang w:val="ro-RO" w:eastAsia="ru-RU"/>
              </w:rPr>
              <w:t>1 septembrie 2026</w:t>
            </w:r>
            <w:r w:rsidRPr="007F4EDF">
              <w:rPr>
                <w:rFonts w:ascii="Times New Roman" w:eastAsia="Times New Roman" w:hAnsi="Times New Roman" w:cs="Times New Roman"/>
                <w:bCs/>
                <w:lang w:val="ro-RO" w:eastAsia="ru-RU"/>
              </w:rPr>
              <w:t>.</w:t>
            </w:r>
          </w:p>
          <w:p w14:paraId="70827950" w14:textId="77777777" w:rsidR="00F32575" w:rsidRPr="007F4EDF" w:rsidRDefault="00F32575" w:rsidP="000361F2">
            <w:pPr>
              <w:spacing w:after="0" w:line="240" w:lineRule="auto"/>
              <w:jc w:val="both"/>
              <w:rPr>
                <w:rFonts w:ascii="Times New Roman" w:eastAsia="Times New Roman" w:hAnsi="Times New Roman" w:cs="Times New Roman"/>
                <w:bCs/>
                <w:lang w:val="ro-RO" w:eastAsia="ru-RU"/>
              </w:rPr>
            </w:pPr>
          </w:p>
          <w:p w14:paraId="5874D98A" w14:textId="77777777" w:rsidR="00F32575" w:rsidRPr="007F4EDF" w:rsidRDefault="00F32575" w:rsidP="00F32575">
            <w:p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Argumentarea propuneri:</w:t>
            </w:r>
          </w:p>
          <w:p w14:paraId="06B0693D" w14:textId="77777777" w:rsidR="00F32575" w:rsidRPr="007F4EDF" w:rsidRDefault="00F32575" w:rsidP="00130F07">
            <w:pPr>
              <w:pStyle w:val="ListParagraph"/>
              <w:numPr>
                <w:ilvl w:val="0"/>
                <w:numId w:val="3"/>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Asigurarea coerenței cadrului de reglementare</w:t>
            </w:r>
          </w:p>
          <w:p w14:paraId="71AD0937"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Ambele proiecte vizează elemente interdependente ale mecanismului de echilibrare și ale responsabilităților participanților la piață. Aplicarea acestora la date diferite poate genera situații în care anumite prevederi economice și operaționale să fie aplicate în lipsa cadrului normativ complementar necesar, ceea ce poate crea dificultăți de interpretare și implementare.</w:t>
            </w:r>
          </w:p>
          <w:p w14:paraId="50AB91F5"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p>
          <w:p w14:paraId="08FA76EC" w14:textId="77777777" w:rsidR="00F32575" w:rsidRPr="007F4EDF" w:rsidRDefault="00F32575" w:rsidP="00130F07">
            <w:pPr>
              <w:pStyle w:val="ListParagraph"/>
              <w:numPr>
                <w:ilvl w:val="0"/>
                <w:numId w:val="3"/>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Evitarea costurilor suplimentare de conformare</w:t>
            </w:r>
          </w:p>
          <w:p w14:paraId="2C0C72A9"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Intrarea în vigoare etapizată a modificărilor ar impune participanților la piață efectuarea succesivă a mai multor ajustări ale sistemelor informatice, procedurilor interne, metodologiilor de prognozare și gestionare a dezechilibrelor. Stabilirea unei date unice de aplicare va permite </w:t>
            </w:r>
            <w:r w:rsidRPr="007F4EDF">
              <w:rPr>
                <w:rFonts w:ascii="Times New Roman" w:eastAsia="Times New Roman" w:hAnsi="Times New Roman" w:cs="Times New Roman"/>
                <w:bCs/>
                <w:lang w:val="ro-RO" w:eastAsia="ru-RU"/>
              </w:rPr>
              <w:lastRenderedPageBreak/>
              <w:t>implementarea simultană a tuturor modificărilor necesare, reducând costurile administrative și operaționale.</w:t>
            </w:r>
          </w:p>
          <w:p w14:paraId="76696C47"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p>
          <w:p w14:paraId="1883BCF7" w14:textId="77777777" w:rsidR="00F32575" w:rsidRPr="007F4EDF" w:rsidRDefault="00F32575" w:rsidP="00130F07">
            <w:pPr>
              <w:pStyle w:val="ListParagraph"/>
              <w:numPr>
                <w:ilvl w:val="0"/>
                <w:numId w:val="3"/>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Facilitarea procesului de adaptare pentru părțile responsabile pentru echilibrare</w:t>
            </w:r>
          </w:p>
          <w:p w14:paraId="1563838A"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Părțile responsabile pentru echilibrare trebuie să analizeze impactul cumulativ al modificărilor asupra obligațiilor contractuale, expunerii financiare și mecanismelor de gestionare a riscurilor. O perioadă suplimentară de pregătire până la 1 septembrie 2026 va permite adaptarea adecvată a proceselor interne și va contribui la evitarea unor erori operaționale în perioada de tranziție.</w:t>
            </w:r>
          </w:p>
          <w:p w14:paraId="6CEA6EAA"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p>
          <w:p w14:paraId="22AFA4E4" w14:textId="77777777" w:rsidR="00F32575" w:rsidRPr="007F4EDF" w:rsidRDefault="00F32575" w:rsidP="00130F07">
            <w:pPr>
              <w:pStyle w:val="ListParagraph"/>
              <w:numPr>
                <w:ilvl w:val="0"/>
                <w:numId w:val="3"/>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Creșterea predictibilității și stabilității pieței</w:t>
            </w:r>
          </w:p>
          <w:p w14:paraId="7DEBCDCB"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Aplicarea simultană a actelor normative conexe va oferi participanților o imagine clară asupra cadrului de reglementare aplicabil și va reduce riscul apariției unor incertitudini juridice sau comerciale asociate implementării succesive a unor modificări care vizează aceeași piață.</w:t>
            </w:r>
          </w:p>
          <w:p w14:paraId="5288893C"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p>
          <w:p w14:paraId="3E36087F" w14:textId="77777777" w:rsidR="00F32575" w:rsidRPr="007F4EDF" w:rsidRDefault="00F32575" w:rsidP="00F32575">
            <w:p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Cs/>
                <w:lang w:val="ro-RO" w:eastAsia="ru-RU"/>
              </w:rPr>
              <w:t xml:space="preserve">       </w:t>
            </w:r>
            <w:r w:rsidRPr="007F4EDF">
              <w:rPr>
                <w:rFonts w:ascii="Times New Roman" w:eastAsia="Times New Roman" w:hAnsi="Times New Roman" w:cs="Times New Roman"/>
                <w:b/>
                <w:bCs/>
                <w:lang w:val="ro-RO" w:eastAsia="ru-RU"/>
              </w:rPr>
              <w:t>Propunere</w:t>
            </w:r>
          </w:p>
          <w:p w14:paraId="50223203" w14:textId="6A394470" w:rsidR="00F32575" w:rsidRPr="007F4EDF" w:rsidRDefault="00F32575" w:rsidP="00F32575">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Se propune ca atât proiectul Hotărârii Consiliului de administrație al ANRE cu privire la stabilirea mecanismului de normalizare a prețurilor pe piața energiei electrice de echilibrare și pentru decontarea dezechilibrelor, cât și proiectul Hotărârii Consiliului de administrație al ANRE cu privire la modificarea Regulamentului privind clauzele și condițiile pentru părțile responsabile pentru echilibrare, aprobat prin Hotărârea Consiliului de administrație nr. 853/2025, să intre în vigoare la aceeași dată, respectiv </w:t>
            </w:r>
            <w:r w:rsidRPr="007F4EDF">
              <w:rPr>
                <w:rFonts w:ascii="Times New Roman" w:eastAsia="Times New Roman" w:hAnsi="Times New Roman" w:cs="Times New Roman"/>
                <w:b/>
                <w:bCs/>
                <w:lang w:val="ro-RO" w:eastAsia="ru-RU"/>
              </w:rPr>
              <w:t>1 septembrie 2026,</w:t>
            </w:r>
            <w:r w:rsidRPr="007F4EDF">
              <w:rPr>
                <w:rFonts w:ascii="Times New Roman" w:eastAsia="Times New Roman" w:hAnsi="Times New Roman" w:cs="Times New Roman"/>
                <w:bCs/>
                <w:lang w:val="ro-RO" w:eastAsia="ru-RU"/>
              </w:rPr>
              <w:t xml:space="preserve"> pentru a asigura o implementare coordonată,</w:t>
            </w:r>
          </w:p>
          <w:p w14:paraId="45FE607F"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predictibilă și eficientă a noilor reglementări.</w:t>
            </w:r>
          </w:p>
          <w:p w14:paraId="15A92442" w14:textId="77777777" w:rsidR="00F32575" w:rsidRPr="007F4EDF" w:rsidRDefault="00F32575" w:rsidP="00F32575">
            <w:pPr>
              <w:spacing w:after="0" w:line="240" w:lineRule="auto"/>
              <w:jc w:val="both"/>
              <w:rPr>
                <w:rFonts w:ascii="Times New Roman" w:eastAsia="Times New Roman" w:hAnsi="Times New Roman" w:cs="Times New Roman"/>
                <w:bCs/>
                <w:lang w:val="ro-RO" w:eastAsia="ru-RU"/>
              </w:rPr>
            </w:pPr>
          </w:p>
          <w:p w14:paraId="6EAE0CB5" w14:textId="3F47D0CC" w:rsidR="00F32575" w:rsidRPr="007F4EDF" w:rsidRDefault="00F32575" w:rsidP="00F32575">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În contextul celor relatate supra, rămânem convinși că propunerile și recomandările formulate și prezentate în cadrul consultărilor publice demarcate, se vor regăsi în varianta finală a proiectului.</w:t>
            </w:r>
          </w:p>
        </w:tc>
        <w:tc>
          <w:tcPr>
            <w:tcW w:w="11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AE890C" w14:textId="77777777" w:rsidR="003E1B14" w:rsidRPr="003B2F0B" w:rsidRDefault="000E52C7"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 xml:space="preserve">Nu se acceptă. </w:t>
            </w:r>
          </w:p>
          <w:p w14:paraId="07FC1E72" w14:textId="77777777" w:rsidR="000E52C7" w:rsidRPr="003B2F0B" w:rsidRDefault="000E52C7"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0AC9D665" w14:textId="020D0DFF" w:rsidR="00F971AA" w:rsidRPr="00B42BFE" w:rsidRDefault="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3B2F0B">
              <w:rPr>
                <w:rFonts w:ascii="Times New Roman" w:eastAsia="Times New Roman" w:hAnsi="Times New Roman" w:cs="Times New Roman"/>
                <w:b/>
                <w:lang w:val="ro-RO"/>
              </w:rPr>
              <w:t xml:space="preserve">Argumentare: </w:t>
            </w:r>
            <w:r w:rsidR="00B42BFE">
              <w:rPr>
                <w:rFonts w:ascii="Times New Roman" w:eastAsia="Times New Roman" w:hAnsi="Times New Roman" w:cs="Times New Roman"/>
                <w:lang w:val="ro-RO"/>
              </w:rPr>
              <w:t xml:space="preserve">Instituirea mecanismului de normalizare </w:t>
            </w:r>
            <w:r w:rsidR="00B42BFE" w:rsidRPr="00B42BFE">
              <w:rPr>
                <w:rFonts w:ascii="Times New Roman" w:eastAsia="Times New Roman" w:hAnsi="Times New Roman" w:cs="Times New Roman"/>
                <w:lang w:val="ro-RO"/>
              </w:rPr>
              <w:t>a prețurilor pe piața energiei electrice de echilibrare și pentru decontarea dezechilibrelor</w:t>
            </w:r>
            <w:r w:rsidR="00B42BFE">
              <w:rPr>
                <w:rFonts w:ascii="Times New Roman" w:eastAsia="Times New Roman" w:hAnsi="Times New Roman" w:cs="Times New Roman"/>
                <w:lang w:val="ro-RO"/>
              </w:rPr>
              <w:t xml:space="preserve"> este argumentat prin necesitatea reducerii </w:t>
            </w:r>
            <w:r w:rsidR="00B42BFE" w:rsidRPr="00B42BFE">
              <w:rPr>
                <w:rFonts w:ascii="Times New Roman" w:eastAsia="Times New Roman" w:hAnsi="Times New Roman" w:cs="Times New Roman"/>
                <w:lang w:val="ro-RO"/>
              </w:rPr>
              <w:t>riscul apariției unor fluctuații excesive de preț pe piața energiei electrice de echilibrare, determinat inclusiv de: numărul redus de furnizori de servicii de echilibrare, gradul redus de lichiditate a pieței, gradul de concentrare ridicat al capacităților flexibile, posibilitatea exercitării puterii de piață în anumite intervale de timp, nivelul limitat al interconexiunilor și al resurselor disponibile pentru echilibrare</w:t>
            </w:r>
            <w:r w:rsidR="00B42BFE">
              <w:rPr>
                <w:rFonts w:ascii="Times New Roman" w:eastAsia="Times New Roman" w:hAnsi="Times New Roman" w:cs="Times New Roman"/>
                <w:lang w:val="ro-RO"/>
              </w:rPr>
              <w:t>. În acest sens, Agenția susține și promovează idea sincronizării temporale a aplicării noilor TCM-uri și a mecanismului de normalizare.</w:t>
            </w:r>
          </w:p>
          <w:p w14:paraId="3C95F9D8"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41630D45"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0D5C837E"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2D7A5FC0"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134DA0F7"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34276083"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6DBF9394"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48AE304"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57EC1755"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3DEB9333"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2F34A18F"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16587691"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AA3017F"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1683397E"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3BF25D9A"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2EE9F3BD"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6BF99D9E"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178397BD"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5744DAE4"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96EC647"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4C4B762D"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042ADE11"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3FE2F17D"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487A82B2" w14:textId="6FFE6B3A" w:rsidR="007708A6" w:rsidRPr="00012CC7" w:rsidRDefault="007708A6" w:rsidP="007708A6">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012CC7">
              <w:rPr>
                <w:rFonts w:ascii="Times New Roman" w:eastAsia="Times New Roman" w:hAnsi="Times New Roman" w:cs="Times New Roman"/>
                <w:b/>
                <w:lang w:val="ro-RO"/>
              </w:rPr>
              <w:t xml:space="preserve">Nu se acceptă. </w:t>
            </w:r>
          </w:p>
          <w:p w14:paraId="1EF4C0F4" w14:textId="77777777" w:rsidR="007708A6" w:rsidRPr="00012CC7" w:rsidRDefault="007708A6" w:rsidP="007708A6">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791A2C69" w14:textId="77777777" w:rsidR="00B42BFE" w:rsidRPr="00012CC7" w:rsidRDefault="007708A6" w:rsidP="00B42BFE">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012CC7">
              <w:rPr>
                <w:rFonts w:ascii="Times New Roman" w:eastAsia="Times New Roman" w:hAnsi="Times New Roman" w:cs="Times New Roman"/>
                <w:b/>
                <w:lang w:val="ro-RO"/>
              </w:rPr>
              <w:t>Argumentare:</w:t>
            </w:r>
            <w:r>
              <w:rPr>
                <w:rFonts w:ascii="Times New Roman" w:eastAsia="Times New Roman" w:hAnsi="Times New Roman" w:cs="Times New Roman"/>
                <w:lang w:val="ro-RO"/>
              </w:rPr>
              <w:t xml:space="preserve"> </w:t>
            </w:r>
            <w:r w:rsidR="00B42BFE" w:rsidRPr="00012CC7">
              <w:rPr>
                <w:rFonts w:ascii="Times New Roman" w:eastAsia="Times New Roman" w:hAnsi="Times New Roman" w:cs="Times New Roman"/>
                <w:lang w:val="ro-RO"/>
              </w:rPr>
              <w:t xml:space="preserve">Regulamentele privind condițiile și clauzele </w:t>
            </w:r>
            <w:r w:rsidR="00B42BFE" w:rsidRPr="00012CC7">
              <w:rPr>
                <w:rFonts w:ascii="Times New Roman" w:eastAsia="Times New Roman" w:hAnsi="Times New Roman" w:cs="Times New Roman"/>
                <w:bCs/>
                <w:lang w:val="ro-RO" w:eastAsia="ru-RU"/>
              </w:rPr>
              <w:t xml:space="preserve">responsabile pentru echilibrare, și pentru părțile responsabile pentru echilibrare aprobate prin Hotărârea Consiliului de administrație nr. 853/2025 din 29.12.2025 prevedeau intrarea în vigoare a acestora la </w:t>
            </w:r>
            <w:r w:rsidR="00B42BFE" w:rsidRPr="00012CC7">
              <w:rPr>
                <w:rFonts w:ascii="Times New Roman" w:eastAsia="Times New Roman" w:hAnsi="Times New Roman" w:cs="Times New Roman"/>
                <w:b/>
                <w:bCs/>
                <w:lang w:val="ro-RO" w:eastAsia="ru-RU"/>
              </w:rPr>
              <w:t>1 iunie 2026</w:t>
            </w:r>
            <w:r w:rsidR="00B42BFE" w:rsidRPr="00012CC7">
              <w:rPr>
                <w:rFonts w:ascii="Times New Roman" w:eastAsia="Times New Roman" w:hAnsi="Times New Roman" w:cs="Times New Roman"/>
                <w:bCs/>
                <w:lang w:val="ro-RO" w:eastAsia="ru-RU"/>
              </w:rPr>
              <w:t xml:space="preserve"> (termen modificat ulterior </w:t>
            </w:r>
            <w:r w:rsidR="00B42BFE" w:rsidRPr="00012CC7">
              <w:rPr>
                <w:rFonts w:ascii="Times New Roman" w:eastAsia="Times New Roman" w:hAnsi="Times New Roman" w:cs="Times New Roman"/>
                <w:b/>
                <w:bCs/>
                <w:lang w:val="ro-RO" w:eastAsia="ru-RU"/>
              </w:rPr>
              <w:t>către 1 iulie 2026</w:t>
            </w:r>
            <w:r w:rsidR="00B42BFE" w:rsidRPr="00012CC7">
              <w:rPr>
                <w:rFonts w:ascii="Times New Roman" w:eastAsia="Times New Roman" w:hAnsi="Times New Roman" w:cs="Times New Roman"/>
                <w:bCs/>
                <w:lang w:val="ro-RO" w:eastAsia="ru-RU"/>
              </w:rPr>
              <w:t xml:space="preserve">). În acest sens, participanții la piața de energie electrică au avut suficient timp pentru a examina noile prevederi și pentru a avea un interval suficient pentru adaptare la acestea. </w:t>
            </w:r>
          </w:p>
          <w:p w14:paraId="7C26B559" w14:textId="77777777" w:rsidR="00B42BFE" w:rsidRDefault="00B42BFE" w:rsidP="00B42BFE">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012CC7">
              <w:rPr>
                <w:rFonts w:ascii="Times New Roman" w:eastAsia="Times New Roman" w:hAnsi="Times New Roman" w:cs="Times New Roman"/>
                <w:bCs/>
                <w:lang w:val="ro-RO" w:eastAsia="ru-RU"/>
              </w:rPr>
              <w:t xml:space="preserve">Din acest considerent, precum și pentru creșterea gradului de responsabilizare a participanților la piața angro de energie electrică, considerând notificările permanente ale OST privind nerespectarea de </w:t>
            </w:r>
            <w:r w:rsidRPr="00012CC7">
              <w:rPr>
                <w:rFonts w:ascii="Times New Roman" w:eastAsia="Times New Roman" w:hAnsi="Times New Roman" w:cs="Times New Roman"/>
                <w:bCs/>
                <w:lang w:val="ro-RO" w:eastAsia="ru-RU"/>
              </w:rPr>
              <w:lastRenderedPageBreak/>
              <w:t>către PRE-uri a angajamentelor contractuale se consideră inoportună decalarea intrării în vigoare atât a TCM-urilor menționate cât și a Hotărârii consultate.</w:t>
            </w:r>
          </w:p>
          <w:p w14:paraId="5A09E3F1" w14:textId="3989DE19" w:rsidR="007708A6" w:rsidRPr="007708A6" w:rsidRDefault="007708A6" w:rsidP="007708A6">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FC6298F"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476DC03B"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04DCEB1B"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2F0FCA73"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3995E9AA"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6057B711"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2B248CB6"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37E92BAA"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49309DDF"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5A3C126E"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315E86A"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5BB0BC43"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1913551D"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594E79C0"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F96EAF1"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7355AF07"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66DE5033"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11FD1C67"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01C0C58B" w14:textId="77777777" w:rsidR="007708A6"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p w14:paraId="262A5CCA" w14:textId="3637478D" w:rsidR="007708A6" w:rsidRPr="003B2F0B" w:rsidRDefault="007708A6" w:rsidP="000E52C7">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tc>
      </w:tr>
      <w:tr w:rsidR="00092700" w:rsidRPr="00013A44" w14:paraId="11E3D3F4" w14:textId="77777777" w:rsidTr="00092700">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93D1C9" w14:textId="3280AE8F" w:rsidR="00092700" w:rsidRPr="003B2F0B" w:rsidRDefault="00092700" w:rsidP="00092700">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Asociația obștească „APEEEF” (aviz nr. 14 din 14.06.2026)</w:t>
            </w:r>
          </w:p>
        </w:tc>
      </w:tr>
      <w:tr w:rsidR="003E1B14" w:rsidRPr="00013A44" w14:paraId="5DA5BFFB" w14:textId="77777777" w:rsidTr="000F79EB">
        <w:trPr>
          <w:jc w:val="center"/>
        </w:trPr>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46F980" w14:textId="3207735D" w:rsidR="0019425F" w:rsidRPr="007F4EDF" w:rsidRDefault="00092700"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DE96BD" w14:textId="60279E4A" w:rsidR="003E1B14" w:rsidRPr="007F4EDF" w:rsidRDefault="00092700" w:rsidP="00CC1418">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APEEEF</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49B895" w14:textId="6AF05585" w:rsidR="003E1B14" w:rsidRPr="007F4EDF" w:rsidRDefault="00092700" w:rsidP="00F5220C">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4</w:t>
            </w:r>
          </w:p>
        </w:tc>
        <w:tc>
          <w:tcPr>
            <w:tcW w:w="2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AF9ED1" w14:textId="77777777" w:rsidR="008E2DF9" w:rsidRPr="007F4EDF" w:rsidRDefault="00092700" w:rsidP="008E2DF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AO „APEEEF” susține, în principiu, inițiativa ANRE de a institui un mecanism temporar de normalizare a prețurilor pe piața energiei electrice de echilibrare, recunoscând necesitatea protejării participanților la piață față de fluctuațiile extreme de prețuri în condițiile unui grad redus de lichiditate și ale unui număr limitat de furnizori de servicii de echilibrare.</w:t>
            </w:r>
          </w:p>
          <w:p w14:paraId="7DDCD227" w14:textId="77777777" w:rsidR="00092700" w:rsidRPr="007F4EDF" w:rsidRDefault="00092700" w:rsidP="008E2DF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AO „APEEEF” susține nivelurile propuse ale plafoanelor, respectiv ±10.000 lei/MWh pentru energia electrică de echilibrare și ±15.000 lei/MWh pentru decontarea dezechilibrelor, considerând că acestea sunt proporționale cu specificul pieței din Republica Moldova și suficient de generoase pentru a nu distorsiona semnalele economice necesare participanților la piață.</w:t>
            </w:r>
          </w:p>
          <w:p w14:paraId="0610C46C" w14:textId="77777777" w:rsidR="00092700" w:rsidRPr="007F4EDF" w:rsidRDefault="00092700" w:rsidP="008E2DF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Totodată, AO „APEEEF” identifică mai multe aspecte care necesită clarificare sau îmbunătățire în Proiectul HCA, în special din perspectiva producătorilor de energie electrică din surse regenerabile care activează pe piața liberă, și formulează propunerile concrete expuse în continuare.</w:t>
            </w:r>
          </w:p>
          <w:p w14:paraId="1F3DE836" w14:textId="77777777" w:rsidR="00092700" w:rsidRPr="007F4EDF" w:rsidRDefault="00092700" w:rsidP="008E2DF9">
            <w:pPr>
              <w:spacing w:after="0" w:line="240" w:lineRule="auto"/>
              <w:jc w:val="both"/>
              <w:rPr>
                <w:rFonts w:ascii="Times New Roman" w:eastAsia="Times New Roman" w:hAnsi="Times New Roman" w:cs="Times New Roman"/>
                <w:bCs/>
                <w:lang w:val="ro-RO" w:eastAsia="ru-RU"/>
              </w:rPr>
            </w:pPr>
          </w:p>
          <w:p w14:paraId="2634290D" w14:textId="77777777" w:rsidR="00092700" w:rsidRPr="007F4EDF" w:rsidRDefault="00092700" w:rsidP="00130F07">
            <w:pPr>
              <w:pStyle w:val="ListParagraph"/>
              <w:numPr>
                <w:ilvl w:val="0"/>
                <w:numId w:val="4"/>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Lipsa diferențierii pentru producătorii SRE cu profil variabil de producție.</w:t>
            </w:r>
          </w:p>
          <w:p w14:paraId="2148F342" w14:textId="77777777" w:rsidR="00092700" w:rsidRPr="007F4EDF" w:rsidRDefault="00092700" w:rsidP="00092700">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Proiectul HCA nu face nicio diferențiere între categoriile de participanți la piață în calitate de Parte Responsabilă pentru Echilibrare (PRE). În consecință, producătorii de energie electrică din surse regenerabile variabile (eolian, solar fotovoltaic) sunt tratați în mod identic cu participanții convenționali, deși natura resursei generează dezechilibre structurale independent de calitatea prognozei.</w:t>
            </w:r>
          </w:p>
          <w:p w14:paraId="14C43B64" w14:textId="7DA4149E" w:rsidR="00092700" w:rsidRPr="007F4EDF" w:rsidRDefault="00092700" w:rsidP="00092700">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Precizăm că producătorii SRE care beneficiază de scheme de sprijin (tarif reglementat, prime sau contracte pentru diferență) și vând energia în cadrul acestor scheme nu sunt, în regulă generală, direct expuși ca PRE individuali, dezechilibrul lor fiind gestionat centralizat prin furnizorul sau agregatorul care preia producția. Prin contrast, producătorii SRE care activează pe</w:t>
            </w:r>
            <w:r w:rsidRPr="003B2F0B">
              <w:rPr>
                <w:rFonts w:ascii="Times New Roman" w:hAnsi="Times New Roman" w:cs="Times New Roman"/>
                <w:lang w:val="en-US"/>
              </w:rPr>
              <w:t xml:space="preserve"> </w:t>
            </w:r>
            <w:r w:rsidRPr="007F4EDF">
              <w:rPr>
                <w:rFonts w:ascii="Times New Roman" w:eastAsia="Times New Roman" w:hAnsi="Times New Roman" w:cs="Times New Roman"/>
                <w:bCs/>
                <w:lang w:val="ro-RO" w:eastAsia="ru-RU"/>
              </w:rPr>
              <w:t>piața liberă fără schemă de sprijin sunt direct expuși mecanismului de normalizare propus, fără nicio protecție specifică pentru variabilitatea inerentă a resursei.</w:t>
            </w:r>
          </w:p>
          <w:p w14:paraId="5A5C1AA5" w14:textId="77777777" w:rsidR="00F31586" w:rsidRPr="007F4EDF" w:rsidRDefault="00F31586" w:rsidP="00092700">
            <w:pPr>
              <w:spacing w:after="0" w:line="240" w:lineRule="auto"/>
              <w:jc w:val="both"/>
              <w:rPr>
                <w:rFonts w:ascii="Times New Roman" w:eastAsia="Times New Roman" w:hAnsi="Times New Roman" w:cs="Times New Roman"/>
                <w:b/>
                <w:bCs/>
                <w:lang w:val="ro-RO" w:eastAsia="ru-RU"/>
              </w:rPr>
            </w:pPr>
          </w:p>
          <w:p w14:paraId="1AB7DFEC" w14:textId="2475E843" w:rsidR="00092700" w:rsidRPr="007F4EDF" w:rsidRDefault="00092700" w:rsidP="00092700">
            <w:pPr>
              <w:spacing w:after="0" w:line="240" w:lineRule="auto"/>
              <w:jc w:val="both"/>
              <w:rPr>
                <w:rFonts w:ascii="Times New Roman" w:eastAsia="Times New Roman" w:hAnsi="Times New Roman" w:cs="Times New Roman"/>
                <w:bCs/>
                <w:lang w:val="ro-RO" w:eastAsia="ru-RU"/>
              </w:rPr>
            </w:pPr>
            <w:r w:rsidRPr="003B2F0B">
              <w:rPr>
                <w:rFonts w:ascii="Times New Roman" w:eastAsia="Times New Roman" w:hAnsi="Times New Roman" w:cs="Times New Roman"/>
                <w:b/>
                <w:bCs/>
                <w:lang w:val="ro-RO" w:eastAsia="ru-RU"/>
              </w:rPr>
              <w:t>Propunere:</w:t>
            </w:r>
            <w:r w:rsidRPr="007F4EDF">
              <w:rPr>
                <w:rFonts w:ascii="Times New Roman" w:eastAsia="Times New Roman" w:hAnsi="Times New Roman" w:cs="Times New Roman"/>
                <w:bCs/>
                <w:lang w:val="ro-RO" w:eastAsia="ru-RU"/>
              </w:rPr>
              <w:t xml:space="preserve"> </w:t>
            </w:r>
            <w:r w:rsidRPr="003B2F0B">
              <w:rPr>
                <w:rFonts w:ascii="Times New Roman" w:eastAsia="Times New Roman" w:hAnsi="Times New Roman" w:cs="Times New Roman"/>
                <w:bCs/>
                <w:i/>
                <w:lang w:val="ro-RO" w:eastAsia="ru-RU"/>
              </w:rPr>
              <w:t>AO „APEEEF” propune introducerea unei benzi de toleranță la prognoze pentru producătorii de energie electrică din surse regenerabile variabile care activează în calitate de PRE pe piața liberă, de cel puțin ±5% din cantitatea nominalizată, în cadrul căreia dezechilibrul rezultat să nu fie supus penalizării. Această abordare este în concordanță cu practicile aplicate în România, Grecia și alte state membre ale Comunității Energetice</w:t>
            </w:r>
            <w:r w:rsidRPr="007F4EDF">
              <w:rPr>
                <w:rFonts w:ascii="Times New Roman" w:eastAsia="Times New Roman" w:hAnsi="Times New Roman" w:cs="Times New Roman"/>
                <w:bCs/>
                <w:lang w:val="ro-RO" w:eastAsia="ru-RU"/>
              </w:rPr>
              <w:t>.</w:t>
            </w:r>
          </w:p>
          <w:p w14:paraId="1A3CE05E" w14:textId="7A851392" w:rsidR="00092700" w:rsidRPr="007F4EDF" w:rsidRDefault="00092700" w:rsidP="00092700">
            <w:pPr>
              <w:spacing w:after="0" w:line="240" w:lineRule="auto"/>
              <w:jc w:val="both"/>
              <w:rPr>
                <w:rFonts w:ascii="Times New Roman" w:eastAsia="Times New Roman" w:hAnsi="Times New Roman" w:cs="Times New Roman"/>
                <w:bCs/>
                <w:lang w:val="ro-RO" w:eastAsia="ru-RU"/>
              </w:rPr>
            </w:pPr>
          </w:p>
          <w:p w14:paraId="5E4CD20E" w14:textId="44235367"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1A437AF9" w14:textId="29D17328"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633B910F" w14:textId="7F38C9E2"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40A5D059" w14:textId="3436B9E1"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3285B485" w14:textId="4E6B2C9B"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009B0B6E" w14:textId="57123B9F"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71863999" w14:textId="455C8B08"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0A4E93D7" w14:textId="038A6218"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6EE1F507" w14:textId="6D82043A"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2FE91A7C" w14:textId="1CA9D2CD"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3A08CE73" w14:textId="7EE4F2A8"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303E11EA" w14:textId="584213A6"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79F8B8BE" w14:textId="55D45160"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4D42AF8F" w14:textId="77777777"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1AE159C8" w14:textId="51746CF7" w:rsidR="00092700" w:rsidRPr="003B2F0B" w:rsidRDefault="00092700">
            <w:pPr>
              <w:pStyle w:val="ListParagraph"/>
              <w:numPr>
                <w:ilvl w:val="0"/>
                <w:numId w:val="4"/>
              </w:numPr>
              <w:spacing w:after="0" w:line="240" w:lineRule="auto"/>
              <w:jc w:val="both"/>
              <w:rPr>
                <w:rFonts w:ascii="Times New Roman" w:eastAsia="Times New Roman" w:hAnsi="Times New Roman" w:cs="Times New Roman"/>
                <w:b/>
                <w:bCs/>
                <w:lang w:val="ro-RO" w:eastAsia="ru-RU"/>
              </w:rPr>
            </w:pPr>
            <w:r w:rsidRPr="003B2F0B">
              <w:rPr>
                <w:rFonts w:ascii="Times New Roman" w:eastAsia="Times New Roman" w:hAnsi="Times New Roman" w:cs="Times New Roman"/>
                <w:b/>
                <w:bCs/>
                <w:lang w:val="ro-RO" w:eastAsia="ru-RU"/>
              </w:rPr>
              <w:t>Mecanismul de revizuire — criterii insuficient definite și frecvență redusă.</w:t>
            </w:r>
          </w:p>
          <w:p w14:paraId="2B668F75" w14:textId="1255D911" w:rsidR="00092700" w:rsidRPr="007F4EDF" w:rsidRDefault="00092700" w:rsidP="00092700">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Proiectul HCA prevede o revizuire semestrială a plafoanelor în baza unui raport elaborat de Î.S. „Moldelectrica”. Această abordare prezintă două vulnerabilități: (i) OST, în calitate de autor al raportului, este și participant indirect pe piața de echilibrare prin gestionarea capacităților de reglaj, ceea ce poate genera un conflict de interese în evaluarea necesității menținerii sau modificării plafoanelor; (ii) intervalul de șase</w:t>
            </w:r>
            <w:r w:rsidR="00991A53" w:rsidRPr="003B2F0B">
              <w:rPr>
                <w:rFonts w:ascii="Times New Roman" w:hAnsi="Times New Roman" w:cs="Times New Roman"/>
                <w:lang w:val="en-US"/>
              </w:rPr>
              <w:t xml:space="preserve"> </w:t>
            </w:r>
            <w:r w:rsidR="00991A53" w:rsidRPr="007F4EDF">
              <w:rPr>
                <w:rFonts w:ascii="Times New Roman" w:eastAsia="Times New Roman" w:hAnsi="Times New Roman" w:cs="Times New Roman"/>
                <w:bCs/>
                <w:lang w:val="ro-RO" w:eastAsia="ru-RU"/>
              </w:rPr>
              <w:t xml:space="preserve">luni este prea lung pentru a permite reacția la disfuncționalități apărute în funcționarea pieței. </w:t>
            </w:r>
          </w:p>
          <w:p w14:paraId="02752C09" w14:textId="647D2E98"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317156AF" w14:textId="64174CC4"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6CE8E932" w14:textId="77777777" w:rsidR="00F31586" w:rsidRPr="007F4EDF" w:rsidRDefault="00F31586" w:rsidP="00092700">
            <w:pPr>
              <w:spacing w:after="0" w:line="240" w:lineRule="auto"/>
              <w:jc w:val="both"/>
              <w:rPr>
                <w:rFonts w:ascii="Times New Roman" w:eastAsia="Times New Roman" w:hAnsi="Times New Roman" w:cs="Times New Roman"/>
                <w:bCs/>
                <w:lang w:val="ro-RO" w:eastAsia="ru-RU"/>
              </w:rPr>
            </w:pPr>
          </w:p>
          <w:p w14:paraId="6A817B3F" w14:textId="25796C40" w:rsidR="00092700" w:rsidRPr="007F4EDF" w:rsidRDefault="00991A53" w:rsidP="00092700">
            <w:pPr>
              <w:spacing w:after="0" w:line="240" w:lineRule="auto"/>
              <w:jc w:val="both"/>
              <w:rPr>
                <w:rFonts w:ascii="Times New Roman" w:eastAsia="Times New Roman" w:hAnsi="Times New Roman" w:cs="Times New Roman"/>
                <w:bCs/>
                <w:i/>
                <w:lang w:val="ro-RO" w:eastAsia="ru-RU"/>
              </w:rPr>
            </w:pPr>
            <w:r w:rsidRPr="003B2F0B">
              <w:rPr>
                <w:rFonts w:ascii="Times New Roman" w:eastAsia="Times New Roman" w:hAnsi="Times New Roman" w:cs="Times New Roman"/>
                <w:b/>
                <w:bCs/>
                <w:lang w:val="ro-RO" w:eastAsia="ru-RU"/>
              </w:rPr>
              <w:t>Propunere:</w:t>
            </w:r>
            <w:r w:rsidRPr="007F4EDF">
              <w:rPr>
                <w:rFonts w:ascii="Times New Roman" w:eastAsia="Times New Roman" w:hAnsi="Times New Roman" w:cs="Times New Roman"/>
                <w:bCs/>
                <w:lang w:val="ro-RO" w:eastAsia="ru-RU"/>
              </w:rPr>
              <w:t xml:space="preserve"> </w:t>
            </w:r>
            <w:r w:rsidRPr="003B2F0B">
              <w:rPr>
                <w:rFonts w:ascii="Times New Roman" w:eastAsia="Times New Roman" w:hAnsi="Times New Roman" w:cs="Times New Roman"/>
                <w:bCs/>
                <w:i/>
                <w:lang w:val="ro-RO" w:eastAsia="ru-RU"/>
              </w:rPr>
              <w:t>AO „APEEEF” propune completarea Proiectului HCA cu un criteriu de revizuire anticipată obligatorie, care să se declanșeze în situația în care plafoanele stabilite sunt atinse în mai mult de 15% din intervalele de decontare dintr-o lună calendaristică. Revizuirea anticipată va fi inițiată de ANRE, cu consultarea obligatorie a participanților la piață, inclusiv a reprezentanților producătorilor SRE.</w:t>
            </w:r>
          </w:p>
          <w:p w14:paraId="3E3A88D3" w14:textId="669FDB9E" w:rsidR="007063F1" w:rsidRPr="007F4EDF" w:rsidRDefault="007063F1" w:rsidP="00092700">
            <w:pPr>
              <w:spacing w:after="0" w:line="240" w:lineRule="auto"/>
              <w:jc w:val="both"/>
              <w:rPr>
                <w:rFonts w:ascii="Times New Roman" w:eastAsia="Times New Roman" w:hAnsi="Times New Roman" w:cs="Times New Roman"/>
                <w:bCs/>
                <w:i/>
                <w:lang w:val="ro-RO" w:eastAsia="ru-RU"/>
              </w:rPr>
            </w:pPr>
          </w:p>
          <w:p w14:paraId="1DB93BDB" w14:textId="6639F2E9" w:rsidR="007063F1" w:rsidRPr="007F4EDF" w:rsidRDefault="007063F1" w:rsidP="00092700">
            <w:pPr>
              <w:spacing w:after="0" w:line="240" w:lineRule="auto"/>
              <w:jc w:val="both"/>
              <w:rPr>
                <w:rFonts w:ascii="Times New Roman" w:eastAsia="Times New Roman" w:hAnsi="Times New Roman" w:cs="Times New Roman"/>
                <w:bCs/>
                <w:i/>
                <w:lang w:val="ro-RO" w:eastAsia="ru-RU"/>
              </w:rPr>
            </w:pPr>
          </w:p>
          <w:p w14:paraId="5828B0E1" w14:textId="2C169895" w:rsidR="007063F1" w:rsidRPr="007F4EDF" w:rsidRDefault="007063F1" w:rsidP="00092700">
            <w:pPr>
              <w:spacing w:after="0" w:line="240" w:lineRule="auto"/>
              <w:jc w:val="both"/>
              <w:rPr>
                <w:rFonts w:ascii="Times New Roman" w:eastAsia="Times New Roman" w:hAnsi="Times New Roman" w:cs="Times New Roman"/>
                <w:bCs/>
                <w:i/>
                <w:lang w:val="ro-RO" w:eastAsia="ru-RU"/>
              </w:rPr>
            </w:pPr>
          </w:p>
          <w:p w14:paraId="79E854BB" w14:textId="61078A82" w:rsidR="007063F1" w:rsidRPr="007F4EDF" w:rsidRDefault="007063F1" w:rsidP="00092700">
            <w:pPr>
              <w:spacing w:after="0" w:line="240" w:lineRule="auto"/>
              <w:jc w:val="both"/>
              <w:rPr>
                <w:rFonts w:ascii="Times New Roman" w:eastAsia="Times New Roman" w:hAnsi="Times New Roman" w:cs="Times New Roman"/>
                <w:bCs/>
                <w:i/>
                <w:lang w:val="ro-RO" w:eastAsia="ru-RU"/>
              </w:rPr>
            </w:pPr>
          </w:p>
          <w:p w14:paraId="795991BD" w14:textId="77777777" w:rsidR="007063F1" w:rsidRPr="007F4EDF" w:rsidRDefault="007063F1" w:rsidP="00092700">
            <w:pPr>
              <w:spacing w:after="0" w:line="240" w:lineRule="auto"/>
              <w:jc w:val="both"/>
              <w:rPr>
                <w:rFonts w:ascii="Times New Roman" w:eastAsia="Times New Roman" w:hAnsi="Times New Roman" w:cs="Times New Roman"/>
                <w:bCs/>
                <w:lang w:val="ro-RO" w:eastAsia="ru-RU"/>
              </w:rPr>
            </w:pPr>
          </w:p>
          <w:p w14:paraId="0759C77D" w14:textId="77777777" w:rsidR="00F71C29" w:rsidRPr="007F4EDF" w:rsidRDefault="00F71C29" w:rsidP="00092700">
            <w:pPr>
              <w:spacing w:after="0" w:line="240" w:lineRule="auto"/>
              <w:jc w:val="both"/>
              <w:rPr>
                <w:rFonts w:ascii="Times New Roman" w:eastAsia="Times New Roman" w:hAnsi="Times New Roman" w:cs="Times New Roman"/>
                <w:bCs/>
                <w:lang w:val="ro-RO" w:eastAsia="ru-RU"/>
              </w:rPr>
            </w:pPr>
          </w:p>
          <w:p w14:paraId="718A8231" w14:textId="77777777" w:rsidR="00991A53" w:rsidRPr="007F4EDF" w:rsidRDefault="00991A53" w:rsidP="00130F07">
            <w:pPr>
              <w:pStyle w:val="ListParagraph"/>
              <w:numPr>
                <w:ilvl w:val="0"/>
                <w:numId w:val="4"/>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Absența perioadei tranzitorii pentru contractele bilaterale în curs.</w:t>
            </w:r>
          </w:p>
          <w:p w14:paraId="5E7BF2E6" w14:textId="77777777" w:rsidR="00991A53" w:rsidRPr="007F4EDF" w:rsidRDefault="00991A53" w:rsidP="00991A53">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Producătorii SRE care activează pe piața liberă au încheiat contracte bilaterale de vânzare-cumpărare a energiei electrice ale căror structuri de preț nu includ riscul de dezechilibru la nivelul plafoanelor propuse de ±15.000 lei/MWh. </w:t>
            </w:r>
            <w:r w:rsidRPr="007F4EDF">
              <w:rPr>
                <w:rFonts w:ascii="Times New Roman" w:eastAsia="Times New Roman" w:hAnsi="Times New Roman" w:cs="Times New Roman"/>
                <w:bCs/>
                <w:lang w:val="ro-RO" w:eastAsia="ru-RU"/>
              </w:rPr>
              <w:lastRenderedPageBreak/>
              <w:t>Proiectul HCA prevede intrarea în vigoare la 1 iulie 2026, fără a stabili o perioadă tranzitorie sau o obligație de informare prealabilă.</w:t>
            </w:r>
          </w:p>
          <w:p w14:paraId="2C38DB20" w14:textId="1A46C9EC" w:rsidR="00991A53" w:rsidRPr="007F4EDF" w:rsidRDefault="00991A53" w:rsidP="00991A53">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AO „APEEEF” propune decalarea datei de intrare în vigoare a Hotărârii la 1 octombrie 2026, pentru a permite participanților la piață adaptarea contractelor bilaterale existente, calibrarea sistemelor de prognoză și, după caz, negocierea condițiilor de participare în cadrul unor grupuri de echilibrare mai mari. Totodată, propunem obligarea OST de a publica, cu cel puțin 60 de zile anterior intrării în vigoare a Hotărârii, o simulare de impact bazată pe datele istorice de dezechilibru ale participanților la piață.</w:t>
            </w:r>
          </w:p>
          <w:p w14:paraId="28BD2F76" w14:textId="77777777" w:rsidR="00F71C29" w:rsidRPr="007F4EDF" w:rsidRDefault="00F71C29" w:rsidP="00991A53">
            <w:pPr>
              <w:spacing w:after="0" w:line="240" w:lineRule="auto"/>
              <w:jc w:val="both"/>
              <w:rPr>
                <w:rFonts w:ascii="Times New Roman" w:eastAsia="Times New Roman" w:hAnsi="Times New Roman" w:cs="Times New Roman"/>
                <w:bCs/>
                <w:lang w:val="ro-RO" w:eastAsia="ru-RU"/>
              </w:rPr>
            </w:pPr>
          </w:p>
          <w:p w14:paraId="58A36FF2" w14:textId="77777777" w:rsidR="00F71C29" w:rsidRPr="007F4EDF" w:rsidRDefault="00F71C29" w:rsidP="00130F07">
            <w:pPr>
              <w:pStyle w:val="ListParagraph"/>
              <w:numPr>
                <w:ilvl w:val="0"/>
                <w:numId w:val="4"/>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Criteriul de lichiditate pentru ridicarea plafoanelor — nedefinit.</w:t>
            </w:r>
          </w:p>
          <w:p w14:paraId="3F38C557" w14:textId="77777777" w:rsidR="00F71C29" w:rsidRPr="007F4EDF" w:rsidRDefault="00F71C29" w:rsidP="00F71C2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Proiectul HCA condiționează ridicarea plafoanelor de „constatarea unui nivel suficient de lichiditate a piețelor angro” în cadrul raportului ANRE prevăzut la art. 101 alin. (8) din Legea nr. 164/2025, fără a defini indicatorii sau pragurile cantitative care constituie „lichiditate suficientă”. Această formulare creează o incertitudine regulatorie pe termen nedefinit, cu impact direct asupra bancabilitatea proiectelor de energie regenerabilă și a capacității producătorilor SRE de a estima costurile pe termen mediu.</w:t>
            </w:r>
          </w:p>
          <w:p w14:paraId="42E8CD3F" w14:textId="27DEDF94" w:rsidR="00F71C29" w:rsidRPr="007F4EDF" w:rsidRDefault="00F71C29" w:rsidP="00F71C2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AO „APEEEF” solicită definirea în cadrul Proiectului HCA a cel puțin trei indicatori obiectivi și măsurabili de lichiditate a pieței de echilibrare (de exemplu: numărul minim de furnizori de servicii de echilibrare activi, volumul mediu lunar tranzacționat pe piața energiei de echilibrare, frecvența lunară de atingere a plafoanelor), precum și un calendar orientativ de evaluare.</w:t>
            </w:r>
          </w:p>
          <w:p w14:paraId="2C340AD5" w14:textId="797E8FFA" w:rsidR="007F4EDF" w:rsidRDefault="007F4EDF" w:rsidP="00F71C29">
            <w:pPr>
              <w:spacing w:after="0" w:line="240" w:lineRule="auto"/>
              <w:jc w:val="both"/>
              <w:rPr>
                <w:rFonts w:ascii="Times New Roman" w:eastAsia="Times New Roman" w:hAnsi="Times New Roman" w:cs="Times New Roman"/>
                <w:bCs/>
                <w:lang w:val="ro-RO" w:eastAsia="ru-RU"/>
              </w:rPr>
            </w:pPr>
          </w:p>
          <w:p w14:paraId="0766745E" w14:textId="008AE815" w:rsidR="00E63C2B" w:rsidRDefault="00E63C2B" w:rsidP="00F71C29">
            <w:pPr>
              <w:spacing w:after="0" w:line="240" w:lineRule="auto"/>
              <w:jc w:val="both"/>
              <w:rPr>
                <w:rFonts w:ascii="Times New Roman" w:eastAsia="Times New Roman" w:hAnsi="Times New Roman" w:cs="Times New Roman"/>
                <w:bCs/>
                <w:lang w:val="ro-RO" w:eastAsia="ru-RU"/>
              </w:rPr>
            </w:pPr>
          </w:p>
          <w:p w14:paraId="6BF62E5D" w14:textId="77777777" w:rsidR="00E63C2B" w:rsidRPr="007F4EDF" w:rsidRDefault="00E63C2B" w:rsidP="00F71C29">
            <w:pPr>
              <w:spacing w:after="0" w:line="240" w:lineRule="auto"/>
              <w:jc w:val="both"/>
              <w:rPr>
                <w:rFonts w:ascii="Times New Roman" w:eastAsia="Times New Roman" w:hAnsi="Times New Roman" w:cs="Times New Roman"/>
                <w:bCs/>
                <w:lang w:val="ro-RO" w:eastAsia="ru-RU"/>
              </w:rPr>
            </w:pPr>
          </w:p>
          <w:p w14:paraId="31FD8D3F" w14:textId="77777777" w:rsidR="007F4EDF" w:rsidRPr="007F4EDF" w:rsidRDefault="007F4EDF" w:rsidP="00F71C29">
            <w:pPr>
              <w:spacing w:after="0" w:line="240" w:lineRule="auto"/>
              <w:jc w:val="both"/>
              <w:rPr>
                <w:rFonts w:ascii="Times New Roman" w:eastAsia="Times New Roman" w:hAnsi="Times New Roman" w:cs="Times New Roman"/>
                <w:bCs/>
                <w:lang w:val="ro-RO" w:eastAsia="ru-RU"/>
              </w:rPr>
            </w:pPr>
          </w:p>
          <w:p w14:paraId="19576B2A" w14:textId="17EF198F" w:rsidR="00F71C29" w:rsidRPr="007F4EDF" w:rsidRDefault="00F71C29" w:rsidP="00130F07">
            <w:pPr>
              <w:pStyle w:val="ListParagraph"/>
              <w:numPr>
                <w:ilvl w:val="0"/>
                <w:numId w:val="4"/>
              </w:numPr>
              <w:spacing w:after="0" w:line="240" w:lineRule="auto"/>
              <w:jc w:val="both"/>
              <w:rPr>
                <w:rFonts w:ascii="Times New Roman" w:eastAsia="Times New Roman" w:hAnsi="Times New Roman" w:cs="Times New Roman"/>
                <w:b/>
                <w:bCs/>
                <w:lang w:val="ro-RO" w:eastAsia="ru-RU"/>
              </w:rPr>
            </w:pPr>
            <w:r w:rsidRPr="007F4EDF">
              <w:rPr>
                <w:rFonts w:ascii="Times New Roman" w:eastAsia="Times New Roman" w:hAnsi="Times New Roman" w:cs="Times New Roman"/>
                <w:b/>
                <w:bCs/>
                <w:lang w:val="ro-RO" w:eastAsia="ru-RU"/>
              </w:rPr>
              <w:t>Absența protecției pentru dezechilibre generate fără culpa producătorului.</w:t>
            </w:r>
          </w:p>
          <w:p w14:paraId="6F776274" w14:textId="77777777" w:rsidR="00F71C29" w:rsidRPr="007F4EDF" w:rsidRDefault="00F71C29" w:rsidP="00F71C2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Proiectul HCA nu prevede nicio excludere sau limitare a penalizărilor pentru dezechilibrele generate independent de voința și acțiunea producătorului. Identificăm două categorii distincte de situații:</w:t>
            </w:r>
          </w:p>
          <w:p w14:paraId="37FAED18" w14:textId="77777777" w:rsidR="00F71C29" w:rsidRPr="003B2F0B" w:rsidRDefault="00F71C29" w:rsidP="00F71C29">
            <w:pPr>
              <w:autoSpaceDE w:val="0"/>
              <w:autoSpaceDN w:val="0"/>
              <w:adjustRightInd w:val="0"/>
              <w:spacing w:after="0" w:line="240" w:lineRule="auto"/>
              <w:rPr>
                <w:rFonts w:ascii="Times New Roman" w:hAnsi="Times New Roman" w:cs="Times New Roman"/>
                <w:color w:val="000000"/>
                <w:lang w:val="en-US"/>
              </w:rPr>
            </w:pPr>
          </w:p>
          <w:p w14:paraId="30668AA9" w14:textId="3808AF04" w:rsidR="00F71C29" w:rsidRPr="007F4EDF" w:rsidRDefault="00F71C29" w:rsidP="00130F07">
            <w:pPr>
              <w:pStyle w:val="ListParagraph"/>
              <w:numPr>
                <w:ilvl w:val="0"/>
                <w:numId w:val="5"/>
              </w:numPr>
              <w:autoSpaceDE w:val="0"/>
              <w:autoSpaceDN w:val="0"/>
              <w:adjustRightInd w:val="0"/>
              <w:spacing w:after="0" w:line="240" w:lineRule="auto"/>
              <w:jc w:val="both"/>
              <w:rPr>
                <w:rFonts w:ascii="Times New Roman" w:hAnsi="Times New Roman" w:cs="Times New Roman"/>
                <w:color w:val="000000"/>
                <w:lang w:val="ro-RO"/>
              </w:rPr>
            </w:pPr>
            <w:r w:rsidRPr="007F4EDF">
              <w:rPr>
                <w:rFonts w:ascii="Times New Roman" w:hAnsi="Times New Roman" w:cs="Times New Roman"/>
                <w:color w:val="000000"/>
                <w:lang w:val="ro-RO"/>
              </w:rPr>
              <w:t xml:space="preserve">Evenimente meteorologice extreme — furtuni, episoade de calm total, radiație solară anormală certificată de Serviciul Hidrometeorologic de Stat — care fac imposibilă respectarea prognozei nominalizate, indiferent de calitatea sistemului de prognoză al producătorului; </w:t>
            </w:r>
          </w:p>
          <w:p w14:paraId="68E2402C" w14:textId="4DF3F6BD" w:rsidR="00F71C29" w:rsidRPr="003B2F0B" w:rsidRDefault="00F71C29" w:rsidP="00130F07">
            <w:pPr>
              <w:pStyle w:val="ListParagraph"/>
              <w:numPr>
                <w:ilvl w:val="0"/>
                <w:numId w:val="6"/>
              </w:numPr>
              <w:autoSpaceDE w:val="0"/>
              <w:autoSpaceDN w:val="0"/>
              <w:adjustRightInd w:val="0"/>
              <w:spacing w:after="0" w:line="240" w:lineRule="auto"/>
              <w:jc w:val="both"/>
              <w:rPr>
                <w:rFonts w:ascii="Times New Roman" w:hAnsi="Times New Roman" w:cs="Times New Roman"/>
                <w:color w:val="000000"/>
                <w:lang w:val="ro-RO"/>
              </w:rPr>
            </w:pPr>
            <w:r w:rsidRPr="003B2F0B">
              <w:rPr>
                <w:rFonts w:ascii="Times New Roman" w:hAnsi="Times New Roman" w:cs="Times New Roman"/>
                <w:color w:val="000000"/>
                <w:lang w:val="ro-RO"/>
              </w:rPr>
              <w:lastRenderedPageBreak/>
              <w:t xml:space="preserve"> Reduceri sau opriri ale producției dispuse de OST (redispatch, curtailment) fără notificare prealabilă sau cu notificare sub intervalul minim de reacție al producătorului. În această situație, producătorul a nominalizat o cantitate în baza prognozei proprii, OST intervine unilateral reducând sau  oprindu-i producția, iar dezechilibrul rezultat este imputat producătorului, deși a fost generat exclusiv prin decizia OST. Proiectul HCA nu clarifică cine suportă dezechilibrul în această situație, lăsând producătorii SRE expuși la penalizări de până la 15.000 lei/MWh pentru situații pe care nu le-au putut controla sau anticipa. </w:t>
            </w:r>
          </w:p>
          <w:p w14:paraId="234D9AD6" w14:textId="6665809E" w:rsidR="00F71C29" w:rsidRPr="003B2F0B" w:rsidRDefault="00F71C29" w:rsidP="00F71C29">
            <w:pPr>
              <w:autoSpaceDE w:val="0"/>
              <w:autoSpaceDN w:val="0"/>
              <w:adjustRightInd w:val="0"/>
              <w:spacing w:after="0" w:line="240" w:lineRule="auto"/>
              <w:ind w:left="60"/>
              <w:jc w:val="both"/>
              <w:rPr>
                <w:rFonts w:ascii="Times New Roman" w:hAnsi="Times New Roman" w:cs="Times New Roman"/>
                <w:color w:val="000000"/>
                <w:lang w:val="ro-RO"/>
              </w:rPr>
            </w:pPr>
          </w:p>
          <w:p w14:paraId="5F042283" w14:textId="5E5DA397" w:rsidR="00F71C29" w:rsidRDefault="00F71C29" w:rsidP="00F71C29">
            <w:pPr>
              <w:autoSpaceDE w:val="0"/>
              <w:autoSpaceDN w:val="0"/>
              <w:adjustRightInd w:val="0"/>
              <w:spacing w:after="0" w:line="240" w:lineRule="auto"/>
              <w:ind w:left="60"/>
              <w:jc w:val="both"/>
              <w:rPr>
                <w:rFonts w:ascii="Times New Roman" w:hAnsi="Times New Roman" w:cs="Times New Roman"/>
                <w:color w:val="000000"/>
                <w:lang w:val="ro-RO"/>
              </w:rPr>
            </w:pPr>
            <w:r w:rsidRPr="003B2F0B">
              <w:rPr>
                <w:rFonts w:ascii="Times New Roman" w:hAnsi="Times New Roman" w:cs="Times New Roman"/>
                <w:color w:val="000000"/>
                <w:lang w:val="ro-RO"/>
              </w:rPr>
              <w:t xml:space="preserve">AO „APEEEF” </w:t>
            </w:r>
            <w:r w:rsidRPr="003B2F0B">
              <w:rPr>
                <w:rFonts w:ascii="Times New Roman" w:hAnsi="Times New Roman" w:cs="Times New Roman"/>
                <w:b/>
                <w:color w:val="000000"/>
                <w:lang w:val="ro-RO"/>
              </w:rPr>
              <w:t>propune</w:t>
            </w:r>
            <w:r w:rsidRPr="003B2F0B">
              <w:rPr>
                <w:rFonts w:ascii="Times New Roman" w:hAnsi="Times New Roman" w:cs="Times New Roman"/>
                <w:color w:val="000000"/>
                <w:lang w:val="ro-RO"/>
              </w:rPr>
              <w:t xml:space="preserve"> introducerea în Proiectul HCA a (i) unei clauze de excludere de la penalizarea dezechilibrului în caz de condiții meteorologice extreme certificate de Serviciul Hidrometeorologic de Stat, și (ii) a obligației exprese a OST de a prelua în contul propriu dezechilibrele generate prin ordine de redispatch sau curtailment nenotificate cu cel puțin un interval de decontare anterior momentului intervenției, cu evidențierea separată în sistemul de decontare — abordare compatibilă cu art. 13 din Regulamentul (UE) 2019/943, pe care Republica Moldova și-a asumat să-l transpună în cadrul Comunității Energetice.</w:t>
            </w:r>
          </w:p>
          <w:p w14:paraId="4959BC56" w14:textId="129AF8FA" w:rsidR="00E63C2B" w:rsidRDefault="00E63C2B" w:rsidP="00F71C29">
            <w:pPr>
              <w:autoSpaceDE w:val="0"/>
              <w:autoSpaceDN w:val="0"/>
              <w:adjustRightInd w:val="0"/>
              <w:spacing w:after="0" w:line="240" w:lineRule="auto"/>
              <w:ind w:left="60"/>
              <w:jc w:val="both"/>
              <w:rPr>
                <w:rFonts w:ascii="Times New Roman" w:hAnsi="Times New Roman" w:cs="Times New Roman"/>
                <w:color w:val="000000"/>
                <w:lang w:val="ro-RO"/>
              </w:rPr>
            </w:pPr>
          </w:p>
          <w:p w14:paraId="5E4E381B" w14:textId="77777777" w:rsidR="00E63C2B" w:rsidRPr="003B2F0B" w:rsidRDefault="00E63C2B" w:rsidP="00F71C29">
            <w:pPr>
              <w:autoSpaceDE w:val="0"/>
              <w:autoSpaceDN w:val="0"/>
              <w:adjustRightInd w:val="0"/>
              <w:spacing w:after="0" w:line="240" w:lineRule="auto"/>
              <w:ind w:left="60"/>
              <w:jc w:val="both"/>
              <w:rPr>
                <w:rFonts w:ascii="Times New Roman" w:hAnsi="Times New Roman" w:cs="Times New Roman"/>
                <w:color w:val="000000"/>
                <w:lang w:val="ro-RO"/>
              </w:rPr>
            </w:pPr>
          </w:p>
          <w:p w14:paraId="7D4D9D01" w14:textId="77777777" w:rsidR="00F71C29" w:rsidRPr="007F4EDF" w:rsidRDefault="00F71C29" w:rsidP="00F71C2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AO „APEEEF” susține adoptarea unui mecanism de normalizare a prețurilor pe piața energiei electrice de echilibrare și consideră că Proiectul HCA reprezintă un pas necesar în etapa actuală de dezvoltare a pieței de energie electrică din Republica Moldova. Susținem nivelurile de plafoane propuse de ANRE ca fiind proporționale și justificate.</w:t>
            </w:r>
          </w:p>
          <w:p w14:paraId="218F292B" w14:textId="77777777" w:rsidR="005D3A4B" w:rsidRPr="007F4EDF" w:rsidRDefault="00F71C29" w:rsidP="00F71C29">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Totodată, solicităm ANRE să ia în considerare propunerile formulate în prezentul Aviz, în special cele referitoare la: </w:t>
            </w:r>
          </w:p>
          <w:p w14:paraId="6A96AE19" w14:textId="31A1D391" w:rsidR="005D3A4B" w:rsidRPr="007F4EDF" w:rsidRDefault="00F71C29" w:rsidP="00130F07">
            <w:pPr>
              <w:pStyle w:val="ListParagraph"/>
              <w:numPr>
                <w:ilvl w:val="0"/>
                <w:numId w:val="7"/>
              </w:num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banda de toleranță de ±5% pentru producătorii SRE pe piața liberă; </w:t>
            </w:r>
          </w:p>
          <w:p w14:paraId="1BB6C805" w14:textId="4424A999" w:rsidR="005D3A4B" w:rsidRPr="007F4EDF" w:rsidRDefault="00F71C29" w:rsidP="00130F07">
            <w:pPr>
              <w:pStyle w:val="ListParagraph"/>
              <w:numPr>
                <w:ilvl w:val="0"/>
                <w:numId w:val="7"/>
              </w:num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protecția pentru dezechilibrele generate prin decizii de redispatch/curtailment ale OST nenotificate;</w:t>
            </w:r>
          </w:p>
          <w:p w14:paraId="32BC5AE3" w14:textId="77777777" w:rsidR="005D3A4B" w:rsidRPr="007F4EDF" w:rsidRDefault="005D3A4B" w:rsidP="00130F07">
            <w:pPr>
              <w:pStyle w:val="ListParagraph"/>
              <w:numPr>
                <w:ilvl w:val="0"/>
                <w:numId w:val="7"/>
              </w:numPr>
              <w:spacing w:after="0" w:line="240" w:lineRule="auto"/>
              <w:ind w:left="959" w:hanging="599"/>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 </w:t>
            </w:r>
            <w:r w:rsidR="00F71C29" w:rsidRPr="007F4EDF">
              <w:rPr>
                <w:rFonts w:ascii="Times New Roman" w:eastAsia="Times New Roman" w:hAnsi="Times New Roman" w:cs="Times New Roman"/>
                <w:bCs/>
                <w:lang w:val="ro-RO" w:eastAsia="ru-RU"/>
              </w:rPr>
              <w:t xml:space="preserve">decalarea datei de intrare în vigoare la 1 octombrie 2026; </w:t>
            </w:r>
          </w:p>
          <w:p w14:paraId="21C1C8F6" w14:textId="77777777" w:rsidR="005D3A4B" w:rsidRPr="007F4EDF" w:rsidRDefault="00F71C29" w:rsidP="00130F07">
            <w:pPr>
              <w:pStyle w:val="ListParagraph"/>
              <w:numPr>
                <w:ilvl w:val="0"/>
                <w:numId w:val="7"/>
              </w:numPr>
              <w:spacing w:after="0" w:line="240" w:lineRule="auto"/>
              <w:ind w:left="959" w:hanging="599"/>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 xml:space="preserve"> definirea criteriilor obiective de lichiditate pentru ridicarea plafoanelor; </w:t>
            </w:r>
          </w:p>
          <w:p w14:paraId="5ED9B113" w14:textId="77777777" w:rsidR="00F71C29" w:rsidRPr="007F4EDF" w:rsidRDefault="00F71C29" w:rsidP="00130F07">
            <w:pPr>
              <w:pStyle w:val="ListParagraph"/>
              <w:numPr>
                <w:ilvl w:val="0"/>
                <w:numId w:val="7"/>
              </w:numPr>
              <w:spacing w:after="0" w:line="240" w:lineRule="auto"/>
              <w:ind w:left="959" w:hanging="599"/>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revizuirea anticipată obligatorie în cazul atingerii frecvente a plafoanelor.</w:t>
            </w:r>
          </w:p>
          <w:p w14:paraId="063B29F0" w14:textId="604BB53D" w:rsidR="005D3A4B" w:rsidRPr="007F4EDF" w:rsidRDefault="005D3A4B" w:rsidP="005D3A4B">
            <w:pPr>
              <w:spacing w:after="0" w:line="240" w:lineRule="auto"/>
              <w:jc w:val="both"/>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lastRenderedPageBreak/>
              <w:t>Aceste propuneri urmăresc asigurarea unui cadru de reglementare echitabil, predictibil și compatibil cu principiile europene, care să nu descurajeze investițiile în energia regenerabilă și să protejeze producătorii SRE față de riscuri pe care nu le pot controla.</w:t>
            </w:r>
          </w:p>
        </w:tc>
        <w:tc>
          <w:tcPr>
            <w:tcW w:w="11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175B6E" w14:textId="77777777" w:rsidR="003E1B14"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Se ia act de susținerea plafoanelor propuse în proiect.</w:t>
            </w:r>
          </w:p>
          <w:p w14:paraId="52E547F9"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46F9A85F"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5B6A9E11"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86A8406"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413DDC8B"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01A00A77"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638A1BA1"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A04CA87"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2D34C095"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600012B2"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344A4B0"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5CA921B" w14:textId="77777777" w:rsidR="000D030A" w:rsidRPr="003B2F0B"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23043BC8"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73AAE59F"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456B51C1"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57F08935"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621C5F3B"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082096A7"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6DC79D51"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5DA3E1B5"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48F79BEF"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72F03487"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4682BEA6"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86F64AC"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390FF00" w14:textId="61450139" w:rsidR="00F31586"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2F4CCD63" w14:textId="30701519" w:rsidR="002A3D9D" w:rsidRDefault="002A3D9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56E63A85" w14:textId="595FE35F" w:rsidR="002A3D9D" w:rsidRDefault="002A3D9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7F714990" w14:textId="70A2FBBD" w:rsidR="00F31586"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7A07187" w14:textId="77777777" w:rsidR="002A3D9D" w:rsidRPr="003B2F0B" w:rsidRDefault="002A3D9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F2FB4C7" w14:textId="77777777" w:rsidR="00F31586" w:rsidRPr="003B2F0B" w:rsidRDefault="00F31586"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23299686" w14:textId="4DD33ED5" w:rsidR="000D030A" w:rsidRDefault="000D030A"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t xml:space="preserve">Nu se acceptă. </w:t>
            </w:r>
          </w:p>
          <w:p w14:paraId="3C1E4752" w14:textId="77777777" w:rsidR="002A3D9D" w:rsidRPr="003B2F0B" w:rsidRDefault="002A3D9D"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25C3EFA" w14:textId="77777777" w:rsidR="000D030A" w:rsidRPr="003B2F0B" w:rsidRDefault="000D030A">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b/>
                <w:lang w:val="ro-RO"/>
              </w:rPr>
              <w:t xml:space="preserve">Argumentare: </w:t>
            </w:r>
            <w:r w:rsidRPr="003B2F0B">
              <w:rPr>
                <w:rFonts w:ascii="Times New Roman" w:eastAsia="Times New Roman" w:hAnsi="Times New Roman" w:cs="Times New Roman"/>
                <w:lang w:val="ro-RO"/>
              </w:rPr>
              <w:t>Referința la mecanismul aplicat producătorilor care au obținut statut de p</w:t>
            </w:r>
            <w:r w:rsidR="002B71C7" w:rsidRPr="003B2F0B">
              <w:rPr>
                <w:rFonts w:ascii="Times New Roman" w:eastAsia="Times New Roman" w:hAnsi="Times New Roman" w:cs="Times New Roman"/>
                <w:lang w:val="ro-RO"/>
              </w:rPr>
              <w:t xml:space="preserve">roducător eligibil nu se consideră argumentată, considerând că prețul </w:t>
            </w:r>
            <w:r w:rsidR="00A443FC" w:rsidRPr="003B2F0B">
              <w:rPr>
                <w:rFonts w:ascii="Times New Roman" w:eastAsia="Times New Roman" w:hAnsi="Times New Roman" w:cs="Times New Roman"/>
                <w:lang w:val="ro-RO"/>
              </w:rPr>
              <w:t xml:space="preserve">fix cu care aceștia comercializează energia electrică este stabilit în baza Metodologiei elaborate de ANRE, și urmează să garanteze un grad de rentabilitate respectiv a proiectelor </w:t>
            </w:r>
            <w:r w:rsidR="00A443FC" w:rsidRPr="003B2F0B">
              <w:rPr>
                <w:rFonts w:ascii="Times New Roman" w:eastAsia="Times New Roman" w:hAnsi="Times New Roman" w:cs="Times New Roman"/>
                <w:lang w:val="ro-RO"/>
              </w:rPr>
              <w:lastRenderedPageBreak/>
              <w:t>date în timp, aceștia neavând posibilitatea de a beneficia de volatilitatea orară a prețurilor în cadrul pieței, chiar și în condițiile aplicării contractelor pentru diferențe.</w:t>
            </w:r>
          </w:p>
          <w:p w14:paraId="335BB552"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D26F3AF" w14:textId="2130293A" w:rsidR="00F31586"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FAA6019" w14:textId="56358A9A" w:rsidR="002A3D9D" w:rsidRDefault="002A3D9D">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F1328E2" w14:textId="77777777" w:rsidR="002A3D9D" w:rsidRPr="003B2F0B" w:rsidRDefault="002A3D9D">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5F7335F" w14:textId="706E233A"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en-US"/>
              </w:rPr>
            </w:pPr>
            <w:r w:rsidRPr="003B2F0B">
              <w:rPr>
                <w:rFonts w:ascii="Times New Roman" w:eastAsia="Times New Roman" w:hAnsi="Times New Roman" w:cs="Times New Roman"/>
                <w:b/>
                <w:lang w:val="ro-RO"/>
              </w:rPr>
              <w:t xml:space="preserve">Comentariu: </w:t>
            </w:r>
            <w:r w:rsidRPr="003B2F0B">
              <w:rPr>
                <w:rFonts w:ascii="Times New Roman" w:eastAsia="Times New Roman" w:hAnsi="Times New Roman" w:cs="Times New Roman"/>
                <w:lang w:val="ro-RO"/>
              </w:rPr>
              <w:t>OST în calitate de responsabil pentru organizarea şi gestionarea pieţei energiei electrice de echilibrare şi a pieţei serviciilor de sistem, aplică cadrul normativ în vigoare în acest sens fiind imposibilă apriori existența unui conflict de interese menționat.</w:t>
            </w:r>
          </w:p>
          <w:p w14:paraId="05A2DAFE"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355D8AE" w14:textId="6308BBBE" w:rsidR="00F31586"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117569E" w14:textId="77777777" w:rsidR="002A3D9D" w:rsidRDefault="002A3D9D">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108EE811" w14:textId="77777777" w:rsidR="002A3D9D" w:rsidRPr="003B2F0B" w:rsidRDefault="002A3D9D">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1C01D90C" w14:textId="55698674" w:rsidR="00F31586" w:rsidRDefault="00F31586" w:rsidP="00F31586">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t xml:space="preserve">Se acceptă parțial. </w:t>
            </w:r>
          </w:p>
          <w:p w14:paraId="4C57E569" w14:textId="77777777" w:rsidR="002A3D9D" w:rsidRPr="003B2F0B" w:rsidRDefault="002A3D9D" w:rsidP="00F31586">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5A23EE32" w14:textId="66A38283" w:rsidR="00F31586" w:rsidRPr="003B2F0B" w:rsidRDefault="007063F1" w:rsidP="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lang w:val="ro-RO"/>
              </w:rPr>
              <w:t xml:space="preserve">Pentru a crește gradul evaluare a relevanței valorilor propuse în cadrul proiectului, se propune trecerea de la raportarea </w:t>
            </w:r>
            <w:r w:rsidRPr="003B2F0B">
              <w:rPr>
                <w:rFonts w:ascii="Times New Roman" w:eastAsia="Times New Roman" w:hAnsi="Times New Roman" w:cs="Times New Roman"/>
                <w:b/>
                <w:lang w:val="ro-RO"/>
              </w:rPr>
              <w:t>semestrială</w:t>
            </w:r>
            <w:r w:rsidRPr="003B2F0B">
              <w:rPr>
                <w:rFonts w:ascii="Times New Roman" w:eastAsia="Times New Roman" w:hAnsi="Times New Roman" w:cs="Times New Roman"/>
                <w:lang w:val="ro-RO"/>
              </w:rPr>
              <w:t xml:space="preserve"> și respectiv la revizuirea valorilor în secțiune </w:t>
            </w:r>
            <w:r w:rsidRPr="003B2F0B">
              <w:rPr>
                <w:rFonts w:ascii="Times New Roman" w:eastAsia="Times New Roman" w:hAnsi="Times New Roman" w:cs="Times New Roman"/>
                <w:b/>
                <w:lang w:val="ro-RO"/>
              </w:rPr>
              <w:t>trimestrială</w:t>
            </w:r>
            <w:r w:rsidRPr="003B2F0B">
              <w:rPr>
                <w:rFonts w:ascii="Times New Roman" w:eastAsia="Times New Roman" w:hAnsi="Times New Roman" w:cs="Times New Roman"/>
                <w:lang w:val="ro-RO"/>
              </w:rPr>
              <w:t xml:space="preserve">. </w:t>
            </w:r>
          </w:p>
          <w:p w14:paraId="456B1CE2"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5124F76"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E9B1AFE" w14:textId="5762C922" w:rsidR="00F31586"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03CB001C" w14:textId="77777777" w:rsidR="002A3D9D" w:rsidRPr="003B2F0B" w:rsidRDefault="002A3D9D">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E02F6A7" w14:textId="446ED061" w:rsidR="00F31586" w:rsidRPr="003B2F0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b/>
                <w:lang w:val="ro-RO"/>
              </w:rPr>
              <w:t>Nu se acceptă</w:t>
            </w:r>
            <w:r w:rsidRPr="003B2F0B">
              <w:rPr>
                <w:rFonts w:ascii="Times New Roman" w:eastAsia="Times New Roman" w:hAnsi="Times New Roman" w:cs="Times New Roman"/>
                <w:lang w:val="ro-RO"/>
              </w:rPr>
              <w:t xml:space="preserve">. A se vedea argumentarea din pct. 3 a tabelului de sinteză. </w:t>
            </w:r>
          </w:p>
          <w:p w14:paraId="6FCC21A4"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1DF4D1A"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3D8290D"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D40AF37" w14:textId="77777777" w:rsidR="00F31586" w:rsidRPr="003B2F0B" w:rsidRDefault="00F31586">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F19367D" w14:textId="77777777" w:rsidR="007F4EDF" w:rsidRPr="003B2F0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DFCA36F" w14:textId="77777777" w:rsidR="007F4EDF" w:rsidRPr="003B2F0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5341DC7" w14:textId="77777777" w:rsidR="007F4EDF" w:rsidRPr="003B2F0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325F73D" w14:textId="77777777" w:rsidR="007F4EDF" w:rsidRPr="003B2F0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C58A429" w14:textId="77777777" w:rsidR="007F4EDF" w:rsidRPr="003B2F0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E736A5E" w14:textId="77777777" w:rsidR="007F4EDF" w:rsidRPr="003B2F0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A91A368" w14:textId="1DCFF516" w:rsidR="007F4EDF"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DFA0856" w14:textId="77777777" w:rsidR="002A3D9D" w:rsidRPr="003B2F0B" w:rsidRDefault="002A3D9D">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44EC44E" w14:textId="0C1E9FB1" w:rsidR="007F4EDF" w:rsidRDefault="007F4EDF">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t xml:space="preserve">Nu se acceptă. </w:t>
            </w:r>
          </w:p>
          <w:p w14:paraId="0DE0F19E" w14:textId="77777777" w:rsidR="002A3D9D" w:rsidRPr="003B2F0B" w:rsidRDefault="002A3D9D">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0584756B" w14:textId="77777777" w:rsidR="00E63C2B" w:rsidRDefault="007F4EDF">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3B2F0B">
              <w:rPr>
                <w:rFonts w:ascii="Times New Roman" w:eastAsia="Times New Roman" w:hAnsi="Times New Roman" w:cs="Times New Roman"/>
                <w:b/>
                <w:lang w:val="ro-RO"/>
              </w:rPr>
              <w:t>Argumentare:</w:t>
            </w:r>
            <w:r w:rsidRPr="003B2F0B">
              <w:rPr>
                <w:rFonts w:ascii="Times New Roman" w:eastAsia="Times New Roman" w:hAnsi="Times New Roman" w:cs="Times New Roman"/>
                <w:lang w:val="ro-RO"/>
              </w:rPr>
              <w:t xml:space="preserve"> </w:t>
            </w:r>
            <w:r w:rsidR="009F5E42">
              <w:rPr>
                <w:rFonts w:ascii="Times New Roman" w:eastAsia="Times New Roman" w:hAnsi="Times New Roman" w:cs="Times New Roman"/>
                <w:lang w:val="ro-RO"/>
              </w:rPr>
              <w:t xml:space="preserve">Constatarea unui grad de lichiditate a piețelor angro reprezintă un exercițiu multilateral, care presupune agregarea și coroborarea mai multor indici și date statistice aferente piețelor de energie electrică. În acest sens, se consideră </w:t>
            </w:r>
            <w:r w:rsidR="00A82B71">
              <w:rPr>
                <w:rFonts w:ascii="Times New Roman" w:eastAsia="Times New Roman" w:hAnsi="Times New Roman" w:cs="Times New Roman"/>
                <w:lang w:val="ro-RO"/>
              </w:rPr>
              <w:t>neargumentată definirea unui set de indicatori în cadrul HCA consultată,  or raportul menționat urmează să cuantifice un set mult mai complex de indicatori necesari pentru constatarea unui grad suficient de lichiditate.</w:t>
            </w:r>
          </w:p>
          <w:p w14:paraId="24F5786F"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19177CDE"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CB0845D"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032BA481"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ADF6947"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E3E68A2"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BFC4609"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FDF8613"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94A1B1E"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D44C58E"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A44DBC9"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453EF5C2"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5668F112"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27EF184"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ECB2225"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FB51AD2"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BC3EE4B"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1A8D04C3"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70A06EE"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4893D92"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3265E998"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4B93899"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34899F2" w14:textId="77777777" w:rsidR="00E63C2B" w:rsidRDefault="00E63C2B">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7EF2BEB9" w14:textId="5257E0AD" w:rsidR="007F4EDF" w:rsidRDefault="00E63C2B">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t xml:space="preserve">Nu se acceptă. </w:t>
            </w:r>
            <w:r w:rsidR="00A82B71" w:rsidRPr="003B2F0B">
              <w:rPr>
                <w:rFonts w:ascii="Times New Roman" w:eastAsia="Times New Roman" w:hAnsi="Times New Roman" w:cs="Times New Roman"/>
                <w:b/>
                <w:lang w:val="ro-RO"/>
              </w:rPr>
              <w:t xml:space="preserve">  </w:t>
            </w:r>
          </w:p>
          <w:p w14:paraId="10531DC6" w14:textId="77777777" w:rsidR="008A574F" w:rsidRDefault="008A574F">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26C48EC4" w14:textId="0B94132E" w:rsidR="008A574F" w:rsidRPr="003B2F0B" w:rsidRDefault="008A574F">
            <w:pPr>
              <w:pStyle w:val="ListParagraph"/>
              <w:tabs>
                <w:tab w:val="left" w:pos="627"/>
                <w:tab w:val="left" w:pos="851"/>
              </w:tabs>
              <w:spacing w:after="0" w:line="240" w:lineRule="auto"/>
              <w:ind w:left="0"/>
              <w:jc w:val="both"/>
              <w:rPr>
                <w:rFonts w:ascii="Times New Roman" w:eastAsia="Times New Roman" w:hAnsi="Times New Roman" w:cs="Times New Roman"/>
                <w:lang w:val="en-US"/>
              </w:rPr>
            </w:pPr>
            <w:r>
              <w:rPr>
                <w:rFonts w:ascii="Times New Roman" w:eastAsia="Times New Roman" w:hAnsi="Times New Roman" w:cs="Times New Roman"/>
                <w:b/>
                <w:lang w:val="ro-RO"/>
              </w:rPr>
              <w:t xml:space="preserve">Argumentare: </w:t>
            </w:r>
            <w:r w:rsidR="006D5D1C" w:rsidRPr="003B2F0B">
              <w:rPr>
                <w:rFonts w:ascii="Times New Roman" w:eastAsia="Times New Roman" w:hAnsi="Times New Roman" w:cs="Times New Roman"/>
                <w:lang w:val="ro-RO"/>
              </w:rPr>
              <w:t>Art. 90 din Legea 164/2025 prevede expres că toţi participanţii la piaţă sunt responsabili pentru dezechilibrele pe care le generează în sistemul electroenergetic</w:t>
            </w:r>
            <w:r w:rsidR="0083151A">
              <w:rPr>
                <w:rFonts w:ascii="Times New Roman" w:eastAsia="Times New Roman" w:hAnsi="Times New Roman" w:cs="Times New Roman"/>
                <w:lang w:val="ro-RO"/>
              </w:rPr>
              <w:t>, în acest sens implementarea unor derogări aferente condițiilor meteorologice nu se consideră argumentată.</w:t>
            </w:r>
            <w:r w:rsidR="00B22F3A">
              <w:rPr>
                <w:rFonts w:ascii="Times New Roman" w:eastAsia="Times New Roman" w:hAnsi="Times New Roman" w:cs="Times New Roman"/>
                <w:lang w:val="ro-RO"/>
              </w:rPr>
              <w:t xml:space="preserve"> Cu privire la redispecerizarea de către operatorul de sistem este de menționat că de regulă participanții la piață sunt compensați financiar în cazul în care aceștia nu au avut posibilitatea să realizeze tranzacții în cadrul pieței angro, iar dezechilibrele în cazul în care apar sunt calculate în raport cu poziția netă contractuală corectată de OS.</w:t>
            </w:r>
          </w:p>
        </w:tc>
      </w:tr>
      <w:tr w:rsidR="00265C96" w:rsidRPr="00013A44" w14:paraId="3AA95146" w14:textId="77777777" w:rsidTr="00265C9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82DFF" w14:textId="0D992C65" w:rsidR="00265C96" w:rsidRPr="003B2F0B" w:rsidRDefault="00265C96" w:rsidP="00265C96">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Î.C.S. „Premier Energy” S.R.L.</w:t>
            </w:r>
            <w:r w:rsidRPr="003B2F0B">
              <w:rPr>
                <w:rFonts w:ascii="Times New Roman" w:hAnsi="Times New Roman" w:cs="Times New Roman"/>
                <w:lang w:val="en-US"/>
              </w:rPr>
              <w:t xml:space="preserve"> </w:t>
            </w:r>
            <w:r w:rsidRPr="003B2F0B">
              <w:rPr>
                <w:rFonts w:ascii="Times New Roman" w:eastAsia="Times New Roman" w:hAnsi="Times New Roman" w:cs="Times New Roman"/>
                <w:b/>
                <w:lang w:val="ro-RO"/>
              </w:rPr>
              <w:t xml:space="preserve">(aviz nr. 0503/1308971 din 15.06.2026) </w:t>
            </w:r>
          </w:p>
        </w:tc>
      </w:tr>
      <w:tr w:rsidR="003E1B14" w:rsidRPr="00013A44" w14:paraId="7B9E206D" w14:textId="77777777" w:rsidTr="000F79EB">
        <w:trPr>
          <w:jc w:val="center"/>
        </w:trPr>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9FC8C5" w14:textId="23BF59A3" w:rsidR="00457D35" w:rsidRPr="007F4EDF" w:rsidRDefault="00265C96" w:rsidP="003A4AA5">
            <w:pPr>
              <w:pStyle w:val="ListParagraph"/>
              <w:tabs>
                <w:tab w:val="left" w:pos="627"/>
                <w:tab w:val="left" w:pos="851"/>
              </w:tabs>
              <w:spacing w:after="0" w:line="240" w:lineRule="auto"/>
              <w:ind w:left="0"/>
              <w:jc w:val="both"/>
              <w:rPr>
                <w:rFonts w:ascii="Times New Roman" w:eastAsia="Times New Roman" w:hAnsi="Times New Roman" w:cs="Times New Roman"/>
                <w:bCs/>
                <w:lang w:val="en-US" w:eastAsia="ru-RU"/>
              </w:rPr>
            </w:pPr>
            <w:r w:rsidRPr="007F4EDF">
              <w:rPr>
                <w:rFonts w:ascii="Times New Roman" w:eastAsia="Times New Roman" w:hAnsi="Times New Roman" w:cs="Times New Roman"/>
                <w:bCs/>
                <w:lang w:val="en-US" w:eastAsia="ru-RU"/>
              </w:rPr>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E5E29D" w14:textId="57EA8C28" w:rsidR="003E1B14" w:rsidRPr="007F4EDF" w:rsidRDefault="00265C96" w:rsidP="00CC1418">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Î.C.S. „Premier Energy” S.R.L.</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391F3" w14:textId="5C0FB053" w:rsidR="003E1B14" w:rsidRPr="007F4EDF" w:rsidRDefault="00265C96" w:rsidP="00F5220C">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5</w:t>
            </w:r>
          </w:p>
        </w:tc>
        <w:tc>
          <w:tcPr>
            <w:tcW w:w="2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78DF35" w14:textId="31138F0E"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 xml:space="preserve">   Proiectul de Hotărâre menționat are ca obiectiv central introducerea unui plafon de preț pentru a limita costurile imprevizibile generate de dezechilibrele din sistemul electroenergetic la care urmează a fi supuse Părțile Responsabile de Echilibrare (PRE).</w:t>
            </w:r>
          </w:p>
          <w:p w14:paraId="63C11AF6" w14:textId="77777777" w:rsidR="00CA5726" w:rsidRPr="007F4EDF" w:rsidRDefault="00265C96" w:rsidP="00265C96">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Dat fiind faptul că Piața de echilibrare, operaționalizată recent, se caracterizează prin volatilitate ridicată și urmare a simulării aplicării prețurilor unice de dezechilibru, calculate de Operatorul Sistemului de Transport în conformitate cu Hotărârea Consiliului de Administrare al ANRE nr.853 din 29.12.2025, putem afirma că PRE-urile urmează a fi expuse la riscuri financiare majore, fiind identificate prețuri unice de peste 100 000 MDL/MWh.</w:t>
            </w:r>
          </w:p>
          <w:p w14:paraId="287F0C83" w14:textId="77777777"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p>
          <w:p w14:paraId="5AA3F643" w14:textId="14A3AD28"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 xml:space="preserve">    În urma analizei oportunităților oferite de piața energiei electrice din Republica Moldova către PRE-uri se pot evidenția un set de limitări și/sau impedimente organizatorice care diminuează capacitatea participanților de a gestiona dezechilibrele create și riscurile financiare rezultate, și anume:</w:t>
            </w:r>
          </w:p>
          <w:p w14:paraId="5F2B5AFB" w14:textId="77777777"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 existența furnizorului cu obligație de serviciu public, care activează în afara condițiilor concurențiale;</w:t>
            </w:r>
          </w:p>
          <w:p w14:paraId="1D4E2594" w14:textId="77777777"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 lichiditatea redusă a pieței angro organizate (PZU și PI);</w:t>
            </w:r>
          </w:p>
          <w:p w14:paraId="4A9211AE" w14:textId="77777777"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 capacitatea transfrontalieră limitată.</w:t>
            </w:r>
          </w:p>
          <w:p w14:paraId="511073BC" w14:textId="77777777"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p>
          <w:p w14:paraId="21302EB0" w14:textId="77777777" w:rsidR="00265C96" w:rsidRPr="007F4EDF" w:rsidRDefault="00265C96" w:rsidP="00265C96">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 xml:space="preserve">    De asemenea, analizând perspectivele care se conturează prin prisma consumatorilor de energiei electrică, costurile pentru dezechilibrele suportate de furnizori, în calitate de PRE, vor fi reflectate, în mod inevitabil, în costurile de furnizare și, ulterior, în prețul pentru energia electrică achitată de consumatorii finali. În această ordine de idei, remarcăm că aplicarea plafoanelor poate produce efecte economice cu impact extins, depășind nivelul participanților la piața energiei electrice și afectând economia națională în ansamblu, dimensionarea acestor plafoane purtând un caracter esențial pentru atingerea scopului propus fără efecte tangențiale nedorite.</w:t>
            </w:r>
          </w:p>
          <w:p w14:paraId="0DD3E758" w14:textId="73D77DEA" w:rsidR="00185FE8" w:rsidRPr="003B2F0B" w:rsidRDefault="00185FE8" w:rsidP="00185FE8">
            <w:pPr>
              <w:autoSpaceDE w:val="0"/>
              <w:autoSpaceDN w:val="0"/>
              <w:adjustRightInd w:val="0"/>
              <w:spacing w:after="0" w:line="240" w:lineRule="auto"/>
              <w:rPr>
                <w:rFonts w:ascii="Times New Roman" w:hAnsi="Times New Roman" w:cs="Times New Roman"/>
                <w:color w:val="000000"/>
                <w:lang w:val="en-US"/>
              </w:rPr>
            </w:pPr>
          </w:p>
          <w:p w14:paraId="6D1DD4D7" w14:textId="0EA3F5C2" w:rsidR="00185FE8" w:rsidRPr="007F4EDF" w:rsidRDefault="00185FE8" w:rsidP="00185FE8">
            <w:pPr>
              <w:autoSpaceDE w:val="0"/>
              <w:autoSpaceDN w:val="0"/>
              <w:adjustRightInd w:val="0"/>
              <w:spacing w:after="0" w:line="240" w:lineRule="auto"/>
              <w:jc w:val="both"/>
              <w:rPr>
                <w:rFonts w:ascii="Times New Roman" w:hAnsi="Times New Roman" w:cs="Times New Roman"/>
                <w:color w:val="000000"/>
                <w:lang w:val="ro-RO"/>
              </w:rPr>
            </w:pPr>
            <w:r w:rsidRPr="003B2F0B">
              <w:rPr>
                <w:rFonts w:ascii="Times New Roman" w:hAnsi="Times New Roman" w:cs="Times New Roman"/>
                <w:color w:val="000000"/>
                <w:lang w:val="en-US"/>
              </w:rPr>
              <w:t xml:space="preserve">   </w:t>
            </w:r>
            <w:r w:rsidRPr="007F4EDF">
              <w:rPr>
                <w:rFonts w:ascii="Times New Roman" w:hAnsi="Times New Roman" w:cs="Times New Roman"/>
                <w:color w:val="000000"/>
                <w:lang w:val="ro-RO"/>
              </w:rPr>
              <w:t xml:space="preserve">Rezumând cele expuse mai sus, considerăm că stabilirea plafonului pentru decontarea dezechilibrelor egal cu ±15.000 lei/MWh, chiar dacă în Nota de </w:t>
            </w:r>
            <w:r w:rsidRPr="007F4EDF">
              <w:rPr>
                <w:rFonts w:ascii="Times New Roman" w:hAnsi="Times New Roman" w:cs="Times New Roman"/>
                <w:color w:val="000000"/>
                <w:lang w:val="ro-RO"/>
              </w:rPr>
              <w:lastRenderedPageBreak/>
              <w:t>fundamentare s-a menționat că plafonul dezechilibrelor trebuie să fie superior plafonului energiei de echilibrare, nu este argumentată suficient, astfel în cât să justifice aplicarea majorării de 50% față de plafonul de 10.000 lei/MWh stabilit pentru energia de echilibrare.</w:t>
            </w:r>
          </w:p>
          <w:p w14:paraId="0E0A9CEE" w14:textId="77777777" w:rsidR="00185FE8" w:rsidRPr="007F4EDF" w:rsidRDefault="00185FE8" w:rsidP="00185FE8">
            <w:pPr>
              <w:autoSpaceDE w:val="0"/>
              <w:autoSpaceDN w:val="0"/>
              <w:adjustRightInd w:val="0"/>
              <w:spacing w:after="0" w:line="240" w:lineRule="auto"/>
              <w:jc w:val="both"/>
              <w:rPr>
                <w:rFonts w:ascii="Times New Roman" w:hAnsi="Times New Roman" w:cs="Times New Roman"/>
                <w:color w:val="000000"/>
                <w:lang w:val="ro-RO"/>
              </w:rPr>
            </w:pPr>
          </w:p>
          <w:p w14:paraId="010A7DE5" w14:textId="77777777" w:rsidR="00185FE8" w:rsidRPr="007F4EDF" w:rsidRDefault="00185FE8" w:rsidP="00185FE8">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 xml:space="preserve">   Prin urmare, revenind la obiectivul urmărit de Agenție prin aplicarea plafonării, și anume asigurarea unei funcționări stabile, predictibile și echilibrate a pieței energiei electrice la etapa inițială de implementare a mecanismelor moderne de echilibrare în Republica Moldova, venim să menționăm că acesta poate fi atins prin aplicarea unui mecanism de creștere treptată a plafonului, care va atenua efectele economice negative suportate de participanții la piață, totodată stimulând prognozarea corectă și tendința de a contribui la menținerea echilibrului sistemului electroenergetic de către PRE.</w:t>
            </w:r>
          </w:p>
          <w:p w14:paraId="76BE41F5" w14:textId="77777777" w:rsidR="00185FE8" w:rsidRPr="007F4EDF" w:rsidRDefault="00185FE8" w:rsidP="00185FE8">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În acest sens propunem spre analiză aplicarea unei soluții tranzitorii pentru decontarea dezechilibrelor în excedent, care să prevadă stabilirea unui plafon minim de preț apropiat de zero, în locul aplicării unor valori negative, iar pentru dezechilibrele în deficit aplicarea creșterii treptate a plafoanelor. Aplicarea acestui mecanism ar menține semnalul economic privind existența surplusului de energie în sistem, oferind totodată un grad mai ridicat de stabilitate, predictibilitate și protecție împotriva riscurilor financiare excesive pentru participanții la piață.</w:t>
            </w:r>
          </w:p>
          <w:p w14:paraId="47A48E01" w14:textId="1EAE0C52" w:rsidR="00185FE8" w:rsidRPr="007F4EDF" w:rsidRDefault="00185FE8" w:rsidP="00185FE8">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În tabelul de mai jos puteți vedea scenariul propus în cifre:</w:t>
            </w:r>
          </w:p>
          <w:p w14:paraId="0CE82E48" w14:textId="6F6AD260" w:rsidR="00185FE8" w:rsidRPr="007F4EDF" w:rsidRDefault="00185FE8" w:rsidP="00185FE8">
            <w:pPr>
              <w:autoSpaceDE w:val="0"/>
              <w:autoSpaceDN w:val="0"/>
              <w:adjustRightInd w:val="0"/>
              <w:spacing w:after="0" w:line="240" w:lineRule="auto"/>
              <w:jc w:val="both"/>
              <w:rPr>
                <w:rFonts w:ascii="Times New Roman" w:hAnsi="Times New Roman" w:cs="Times New Roman"/>
                <w:lang w:val="ro-RO"/>
              </w:rPr>
            </w:pPr>
          </w:p>
          <w:tbl>
            <w:tblPr>
              <w:tblStyle w:val="TableGrid"/>
              <w:tblW w:w="0" w:type="auto"/>
              <w:tblLook w:val="04A0" w:firstRow="1" w:lastRow="0" w:firstColumn="1" w:lastColumn="0" w:noHBand="0" w:noVBand="1"/>
            </w:tblPr>
            <w:tblGrid>
              <w:gridCol w:w="2254"/>
              <w:gridCol w:w="2255"/>
              <w:gridCol w:w="2255"/>
            </w:tblGrid>
            <w:tr w:rsidR="00185FE8" w:rsidRPr="00013A44" w14:paraId="78548F69" w14:textId="77777777" w:rsidTr="00185FE8">
              <w:tc>
                <w:tcPr>
                  <w:tcW w:w="2254" w:type="dxa"/>
                  <w:vAlign w:val="center"/>
                </w:tcPr>
                <w:p w14:paraId="594D7117" w14:textId="3D980AD5"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Perioada</w:t>
                  </w:r>
                </w:p>
              </w:tc>
              <w:tc>
                <w:tcPr>
                  <w:tcW w:w="2255" w:type="dxa"/>
                  <w:vAlign w:val="center"/>
                </w:tcPr>
                <w:p w14:paraId="0AF85BBF" w14:textId="5872DE09"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Limita de preț dezechilibre deficit (MDL/MWh</w:t>
                  </w:r>
                </w:p>
              </w:tc>
              <w:tc>
                <w:tcPr>
                  <w:tcW w:w="2255" w:type="dxa"/>
                  <w:vAlign w:val="center"/>
                </w:tcPr>
                <w:p w14:paraId="74E46070" w14:textId="75D629EE"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Limita de preț dezechilibre excedent (MDL/MWh)</w:t>
                  </w:r>
                </w:p>
              </w:tc>
            </w:tr>
            <w:tr w:rsidR="00185FE8" w:rsidRPr="00013A44" w14:paraId="7FDA9D78" w14:textId="77777777" w:rsidTr="00185FE8">
              <w:tc>
                <w:tcPr>
                  <w:tcW w:w="2254" w:type="dxa"/>
                </w:tcPr>
                <w:p w14:paraId="5F0EB08B" w14:textId="04221654" w:rsidR="00185FE8" w:rsidRPr="003B2F0B" w:rsidRDefault="00185FE8" w:rsidP="00185FE8">
                  <w:pPr>
                    <w:autoSpaceDE w:val="0"/>
                    <w:autoSpaceDN w:val="0"/>
                    <w:adjustRightInd w:val="0"/>
                    <w:jc w:val="both"/>
                    <w:rPr>
                      <w:rFonts w:ascii="Times New Roman" w:hAnsi="Times New Roman" w:cs="Times New Roman"/>
                      <w:lang w:val="ro-RO"/>
                    </w:rPr>
                  </w:pPr>
                  <w:r w:rsidRPr="003B2F0B">
                    <w:rPr>
                      <w:rFonts w:ascii="Times New Roman" w:hAnsi="Times New Roman" w:cs="Times New Roman"/>
                      <w:lang w:val="ro-RO"/>
                    </w:rPr>
                    <w:t>Până la 31.12.2026</w:t>
                  </w:r>
                </w:p>
              </w:tc>
              <w:tc>
                <w:tcPr>
                  <w:tcW w:w="2255" w:type="dxa"/>
                  <w:vAlign w:val="center"/>
                </w:tcPr>
                <w:p w14:paraId="5197B902" w14:textId="207FED56"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+ 5 000</w:t>
                  </w:r>
                </w:p>
              </w:tc>
              <w:tc>
                <w:tcPr>
                  <w:tcW w:w="2255" w:type="dxa"/>
                  <w:vAlign w:val="center"/>
                </w:tcPr>
                <w:p w14:paraId="44A16CE0" w14:textId="636C7784"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0</w:t>
                  </w:r>
                </w:p>
              </w:tc>
            </w:tr>
            <w:tr w:rsidR="00185FE8" w:rsidRPr="00013A44" w14:paraId="47D0A12B" w14:textId="77777777" w:rsidTr="00185FE8">
              <w:tc>
                <w:tcPr>
                  <w:tcW w:w="2254" w:type="dxa"/>
                </w:tcPr>
                <w:p w14:paraId="00D80B78" w14:textId="392E2A46" w:rsidR="00185FE8" w:rsidRPr="003B2F0B" w:rsidRDefault="00185FE8" w:rsidP="00185FE8">
                  <w:pPr>
                    <w:autoSpaceDE w:val="0"/>
                    <w:autoSpaceDN w:val="0"/>
                    <w:adjustRightInd w:val="0"/>
                    <w:jc w:val="both"/>
                    <w:rPr>
                      <w:rFonts w:ascii="Times New Roman" w:hAnsi="Times New Roman" w:cs="Times New Roman"/>
                      <w:lang w:val="ro-RO"/>
                    </w:rPr>
                  </w:pPr>
                  <w:r w:rsidRPr="003B2F0B">
                    <w:rPr>
                      <w:rFonts w:ascii="Times New Roman" w:hAnsi="Times New Roman" w:cs="Times New Roman"/>
                      <w:lang w:val="ro-RO"/>
                    </w:rPr>
                    <w:t>01.01.2027 – 30.06.2027</w:t>
                  </w:r>
                </w:p>
              </w:tc>
              <w:tc>
                <w:tcPr>
                  <w:tcW w:w="2255" w:type="dxa"/>
                  <w:vAlign w:val="center"/>
                </w:tcPr>
                <w:p w14:paraId="7B3CAC45" w14:textId="0DC23733"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+ 7 500</w:t>
                  </w:r>
                </w:p>
              </w:tc>
              <w:tc>
                <w:tcPr>
                  <w:tcW w:w="2255" w:type="dxa"/>
                  <w:vAlign w:val="center"/>
                </w:tcPr>
                <w:p w14:paraId="61A9BD50" w14:textId="5331F9A4"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0</w:t>
                  </w:r>
                </w:p>
              </w:tc>
            </w:tr>
            <w:tr w:rsidR="00185FE8" w:rsidRPr="00013A44" w14:paraId="3C58331F" w14:textId="77777777" w:rsidTr="00185FE8">
              <w:tc>
                <w:tcPr>
                  <w:tcW w:w="2254" w:type="dxa"/>
                </w:tcPr>
                <w:p w14:paraId="29C3D92C" w14:textId="03EAA5BA" w:rsidR="00185FE8" w:rsidRPr="003B2F0B" w:rsidRDefault="00185FE8" w:rsidP="00185FE8">
                  <w:pPr>
                    <w:autoSpaceDE w:val="0"/>
                    <w:autoSpaceDN w:val="0"/>
                    <w:adjustRightInd w:val="0"/>
                    <w:jc w:val="both"/>
                    <w:rPr>
                      <w:rFonts w:ascii="Times New Roman" w:hAnsi="Times New Roman" w:cs="Times New Roman"/>
                      <w:lang w:val="ro-RO"/>
                    </w:rPr>
                  </w:pPr>
                  <w:r w:rsidRPr="003B2F0B">
                    <w:rPr>
                      <w:rFonts w:ascii="Times New Roman" w:hAnsi="Times New Roman" w:cs="Times New Roman"/>
                      <w:lang w:val="ro-RO"/>
                    </w:rPr>
                    <w:t>Începând cu 01.07.2027</w:t>
                  </w:r>
                </w:p>
              </w:tc>
              <w:tc>
                <w:tcPr>
                  <w:tcW w:w="2255" w:type="dxa"/>
                  <w:vAlign w:val="center"/>
                </w:tcPr>
                <w:p w14:paraId="596F2BB3" w14:textId="559C2CB8"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+ 10 000</w:t>
                  </w:r>
                </w:p>
              </w:tc>
              <w:tc>
                <w:tcPr>
                  <w:tcW w:w="2255" w:type="dxa"/>
                  <w:vAlign w:val="center"/>
                </w:tcPr>
                <w:p w14:paraId="18EC4D25" w14:textId="3F42D7A1" w:rsidR="00185FE8" w:rsidRPr="007F4EDF" w:rsidRDefault="00185FE8" w:rsidP="00185FE8">
                  <w:pPr>
                    <w:autoSpaceDE w:val="0"/>
                    <w:autoSpaceDN w:val="0"/>
                    <w:adjustRightInd w:val="0"/>
                    <w:jc w:val="center"/>
                    <w:rPr>
                      <w:rFonts w:ascii="Times New Roman" w:hAnsi="Times New Roman" w:cs="Times New Roman"/>
                      <w:lang w:val="ro-RO"/>
                    </w:rPr>
                  </w:pPr>
                  <w:r w:rsidRPr="007F4EDF">
                    <w:rPr>
                      <w:rFonts w:ascii="Times New Roman" w:hAnsi="Times New Roman" w:cs="Times New Roman"/>
                      <w:lang w:val="ro-RO"/>
                    </w:rPr>
                    <w:t>0</w:t>
                  </w:r>
                </w:p>
              </w:tc>
            </w:tr>
          </w:tbl>
          <w:p w14:paraId="753C4FF7" w14:textId="77777777" w:rsidR="00185FE8" w:rsidRPr="007F4EDF" w:rsidRDefault="00185FE8" w:rsidP="00185FE8">
            <w:pPr>
              <w:autoSpaceDE w:val="0"/>
              <w:autoSpaceDN w:val="0"/>
              <w:adjustRightInd w:val="0"/>
              <w:spacing w:after="0" w:line="240" w:lineRule="auto"/>
              <w:jc w:val="both"/>
              <w:rPr>
                <w:rFonts w:ascii="Times New Roman" w:hAnsi="Times New Roman" w:cs="Times New Roman"/>
                <w:lang w:val="ro-RO"/>
              </w:rPr>
            </w:pPr>
          </w:p>
          <w:p w14:paraId="13730D38" w14:textId="7B3172A3" w:rsidR="00E24D89" w:rsidRPr="007F4EDF" w:rsidRDefault="00E24D89" w:rsidP="00185FE8">
            <w:pPr>
              <w:autoSpaceDE w:val="0"/>
              <w:autoSpaceDN w:val="0"/>
              <w:adjustRightInd w:val="0"/>
              <w:spacing w:after="0" w:line="240" w:lineRule="auto"/>
              <w:jc w:val="both"/>
              <w:rPr>
                <w:rFonts w:ascii="Times New Roman" w:hAnsi="Times New Roman" w:cs="Times New Roman"/>
                <w:lang w:val="ro-RO"/>
              </w:rPr>
            </w:pPr>
            <w:r w:rsidRPr="007F4EDF">
              <w:rPr>
                <w:rFonts w:ascii="Times New Roman" w:hAnsi="Times New Roman" w:cs="Times New Roman"/>
                <w:lang w:val="ro-RO"/>
              </w:rPr>
              <w:t>Considerăm că o astfel de soluție ar permite transmiterea unor semnale economice adecvate participanților la piață, menținând în același timp caracterul proporțional al mecanismului de decontare a dezechilibrelor și contribuind la consolidarea treptată a pieței energiei electrice din Republica Moldova.</w:t>
            </w:r>
          </w:p>
        </w:tc>
        <w:tc>
          <w:tcPr>
            <w:tcW w:w="11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57ACFE" w14:textId="77777777" w:rsidR="003E1B14" w:rsidRDefault="00E075B4"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 xml:space="preserve">Se acceptă parțial. </w:t>
            </w:r>
          </w:p>
          <w:p w14:paraId="2C068B47" w14:textId="77777777" w:rsidR="00E075B4" w:rsidRDefault="00E075B4"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219F478" w14:textId="77777777" w:rsidR="00E075B4" w:rsidRPr="00012CC7" w:rsidRDefault="00E075B4" w:rsidP="00E075B4">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Astfel</w:t>
            </w:r>
            <w:r>
              <w:rPr>
                <w:rFonts w:ascii="Times New Roman" w:eastAsia="Times New Roman" w:hAnsi="Times New Roman" w:cs="Times New Roman"/>
                <w:lang w:val="ro-RO"/>
              </w:rPr>
              <w:t>,</w:t>
            </w:r>
            <w:r w:rsidRPr="00012CC7">
              <w:rPr>
                <w:rFonts w:ascii="Times New Roman" w:eastAsia="Times New Roman" w:hAnsi="Times New Roman" w:cs="Times New Roman"/>
                <w:lang w:val="ro-RO"/>
              </w:rPr>
              <w:t xml:space="preserve"> se propune aplicarea următoarelor valori: </w:t>
            </w:r>
          </w:p>
          <w:p w14:paraId="08C452A0" w14:textId="77777777" w:rsidR="00E075B4" w:rsidRPr="00012CC7" w:rsidRDefault="00E075B4" w:rsidP="00E075B4">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6EA26BFC" w14:textId="77777777" w:rsidR="00E075B4" w:rsidRPr="00012CC7" w:rsidRDefault="00E075B4" w:rsidP="00E075B4">
            <w:pPr>
              <w:tabs>
                <w:tab w:val="left" w:pos="627"/>
                <w:tab w:val="left" w:pos="851"/>
              </w:tabs>
              <w:spacing w:after="0" w:line="240" w:lineRule="auto"/>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 xml:space="preserve">1.1 pentru energia electrică de echilibrare la creștere de putere – </w:t>
            </w:r>
            <w:r w:rsidRPr="00012CC7">
              <w:rPr>
                <w:rFonts w:ascii="Times New Roman" w:eastAsia="Times New Roman" w:hAnsi="Times New Roman" w:cs="Times New Roman"/>
                <w:b/>
                <w:lang w:val="ro-RO"/>
              </w:rPr>
              <w:t>(+) 8 000 lei/MWh;</w:t>
            </w:r>
          </w:p>
          <w:p w14:paraId="681594A9" w14:textId="77777777" w:rsidR="00E075B4" w:rsidRPr="00012CC7" w:rsidRDefault="00E075B4" w:rsidP="00E075B4">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012CC7">
              <w:rPr>
                <w:rFonts w:ascii="Times New Roman" w:eastAsia="Times New Roman" w:hAnsi="Times New Roman" w:cs="Times New Roman"/>
                <w:lang w:val="ro-RO"/>
              </w:rPr>
              <w:t>1.2.</w:t>
            </w:r>
            <w:r w:rsidRPr="00012CC7">
              <w:rPr>
                <w:rFonts w:ascii="Times New Roman" w:eastAsia="Times New Roman" w:hAnsi="Times New Roman" w:cs="Times New Roman"/>
                <w:lang w:val="ro-RO"/>
              </w:rPr>
              <w:tab/>
              <w:t xml:space="preserve"> pentru energia electrică de echilibrare la reducere de putere – (-) </w:t>
            </w:r>
            <w:r w:rsidRPr="00012CC7">
              <w:rPr>
                <w:rFonts w:ascii="Times New Roman" w:eastAsia="Times New Roman" w:hAnsi="Times New Roman" w:cs="Times New Roman"/>
                <w:b/>
                <w:lang w:val="ro-RO"/>
              </w:rPr>
              <w:t>8 000 lei/MWh.</w:t>
            </w:r>
          </w:p>
          <w:p w14:paraId="1EF509D0" w14:textId="77777777" w:rsidR="00E075B4" w:rsidRPr="00012CC7" w:rsidRDefault="00E075B4" w:rsidP="00E075B4">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3986320D" w14:textId="77777777" w:rsidR="00E075B4" w:rsidRPr="00012CC7" w:rsidRDefault="00E075B4" w:rsidP="00E075B4">
            <w:pPr>
              <w:tabs>
                <w:tab w:val="left" w:pos="627"/>
                <w:tab w:val="left" w:pos="851"/>
              </w:tabs>
              <w:spacing w:after="0" w:line="240" w:lineRule="auto"/>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2.1.</w:t>
            </w:r>
            <w:r w:rsidRPr="00012CC7">
              <w:rPr>
                <w:rFonts w:ascii="Times New Roman" w:eastAsia="Times New Roman" w:hAnsi="Times New Roman" w:cs="Times New Roman"/>
                <w:lang w:val="ro-RO"/>
              </w:rPr>
              <w:tab/>
              <w:t xml:space="preserve"> Limita de preț pozitiv - (+) </w:t>
            </w:r>
            <w:r w:rsidRPr="00012CC7">
              <w:rPr>
                <w:rFonts w:ascii="Times New Roman" w:eastAsia="Times New Roman" w:hAnsi="Times New Roman" w:cs="Times New Roman"/>
                <w:b/>
                <w:lang w:val="ro-RO"/>
              </w:rPr>
              <w:t>12 000 lei/MWh;</w:t>
            </w:r>
          </w:p>
          <w:p w14:paraId="6C3AED1E" w14:textId="77777777" w:rsidR="00E075B4" w:rsidRPr="00012CC7" w:rsidRDefault="00E075B4" w:rsidP="00E075B4">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2.2.</w:t>
            </w:r>
            <w:r w:rsidRPr="00012CC7">
              <w:rPr>
                <w:rFonts w:ascii="Times New Roman" w:eastAsia="Times New Roman" w:hAnsi="Times New Roman" w:cs="Times New Roman"/>
                <w:lang w:val="ro-RO"/>
              </w:rPr>
              <w:tab/>
              <w:t xml:space="preserve"> Limita de preț negativ - (-) </w:t>
            </w:r>
            <w:r w:rsidRPr="00012CC7">
              <w:rPr>
                <w:rFonts w:ascii="Times New Roman" w:eastAsia="Times New Roman" w:hAnsi="Times New Roman" w:cs="Times New Roman"/>
                <w:b/>
                <w:lang w:val="ro-RO"/>
              </w:rPr>
              <w:t>12 000 lei/MWh.</w:t>
            </w:r>
          </w:p>
          <w:p w14:paraId="3FCECD13" w14:textId="10948031" w:rsidR="00E075B4" w:rsidRPr="003B2F0B" w:rsidRDefault="00E075B4" w:rsidP="003A4AA5">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tc>
      </w:tr>
      <w:tr w:rsidR="00013A44" w:rsidRPr="00013A44" w14:paraId="221DBDA9" w14:textId="77777777" w:rsidTr="00013A44">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EF72F" w14:textId="5A428CCF" w:rsidR="00013A44" w:rsidRPr="003B2F0B" w:rsidRDefault="00013A44" w:rsidP="00013A44">
            <w:pPr>
              <w:pStyle w:val="ListParagraph"/>
              <w:tabs>
                <w:tab w:val="left" w:pos="627"/>
                <w:tab w:val="left" w:pos="851"/>
              </w:tabs>
              <w:spacing w:after="0" w:line="240" w:lineRule="auto"/>
              <w:ind w:left="0"/>
              <w:jc w:val="center"/>
              <w:rPr>
                <w:rFonts w:ascii="Times New Roman" w:eastAsia="Times New Roman" w:hAnsi="Times New Roman" w:cs="Times New Roman"/>
                <w:b/>
                <w:lang w:val="ro-RO"/>
              </w:rPr>
            </w:pPr>
            <w:r w:rsidRPr="003B2F0B">
              <w:rPr>
                <w:rFonts w:ascii="Times New Roman" w:eastAsia="Times New Roman" w:hAnsi="Times New Roman" w:cs="Times New Roman"/>
                <w:b/>
                <w:lang w:val="ro-RO"/>
              </w:rPr>
              <w:t>Î.C.S. „Premier Energy</w:t>
            </w:r>
            <w:r>
              <w:rPr>
                <w:rFonts w:ascii="Times New Roman" w:eastAsia="Times New Roman" w:hAnsi="Times New Roman" w:cs="Times New Roman"/>
                <w:b/>
                <w:lang w:val="ro-RO"/>
              </w:rPr>
              <w:t xml:space="preserve"> Distribution</w:t>
            </w:r>
            <w:r w:rsidRPr="003B2F0B">
              <w:rPr>
                <w:rFonts w:ascii="Times New Roman" w:eastAsia="Times New Roman" w:hAnsi="Times New Roman" w:cs="Times New Roman"/>
                <w:b/>
                <w:lang w:val="ro-RO"/>
              </w:rPr>
              <w:t>” S.</w:t>
            </w:r>
            <w:r>
              <w:rPr>
                <w:rFonts w:ascii="Times New Roman" w:eastAsia="Times New Roman" w:hAnsi="Times New Roman" w:cs="Times New Roman"/>
                <w:b/>
                <w:lang w:val="ro-RO"/>
              </w:rPr>
              <w:t>A</w:t>
            </w:r>
            <w:r w:rsidRPr="003B2F0B">
              <w:rPr>
                <w:rFonts w:ascii="Times New Roman" w:eastAsia="Times New Roman" w:hAnsi="Times New Roman" w:cs="Times New Roman"/>
                <w:b/>
                <w:lang w:val="ro-RO"/>
              </w:rPr>
              <w:t>.</w:t>
            </w:r>
            <w:r w:rsidRPr="003B2F0B">
              <w:rPr>
                <w:rFonts w:ascii="Times New Roman" w:hAnsi="Times New Roman" w:cs="Times New Roman"/>
                <w:lang w:val="en-US"/>
              </w:rPr>
              <w:t xml:space="preserve"> </w:t>
            </w:r>
            <w:r>
              <w:rPr>
                <w:rFonts w:ascii="Times New Roman" w:eastAsia="Times New Roman" w:hAnsi="Times New Roman" w:cs="Times New Roman"/>
                <w:b/>
                <w:lang w:val="ro-RO"/>
              </w:rPr>
              <w:t>(aviz nr. 0505</w:t>
            </w:r>
            <w:r w:rsidRPr="003B2F0B">
              <w:rPr>
                <w:rFonts w:ascii="Times New Roman" w:eastAsia="Times New Roman" w:hAnsi="Times New Roman" w:cs="Times New Roman"/>
                <w:b/>
                <w:lang w:val="ro-RO"/>
              </w:rPr>
              <w:t>/13</w:t>
            </w:r>
            <w:r>
              <w:rPr>
                <w:rFonts w:ascii="Times New Roman" w:eastAsia="Times New Roman" w:hAnsi="Times New Roman" w:cs="Times New Roman"/>
                <w:b/>
                <w:lang w:val="ro-RO"/>
              </w:rPr>
              <w:t>2917 din 16</w:t>
            </w:r>
            <w:r w:rsidRPr="003B2F0B">
              <w:rPr>
                <w:rFonts w:ascii="Times New Roman" w:eastAsia="Times New Roman" w:hAnsi="Times New Roman" w:cs="Times New Roman"/>
                <w:b/>
                <w:lang w:val="ro-RO"/>
              </w:rPr>
              <w:t>.06.2026)</w:t>
            </w:r>
          </w:p>
        </w:tc>
      </w:tr>
      <w:tr w:rsidR="00013A44" w:rsidRPr="00013A44" w14:paraId="3A3D5968" w14:textId="77777777" w:rsidTr="000F79EB">
        <w:trPr>
          <w:jc w:val="center"/>
        </w:trPr>
        <w:tc>
          <w:tcPr>
            <w:tcW w:w="609"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65C36A" w14:textId="61C9FC78" w:rsidR="00013A44" w:rsidRPr="007F4EDF"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bCs/>
                <w:lang w:val="en-US" w:eastAsia="ru-RU"/>
              </w:rPr>
            </w:pPr>
            <w:r w:rsidRPr="007F4EDF">
              <w:rPr>
                <w:rFonts w:ascii="Times New Roman" w:eastAsia="Times New Roman" w:hAnsi="Times New Roman" w:cs="Times New Roman"/>
                <w:bCs/>
                <w:lang w:val="en-US" w:eastAsia="ru-RU"/>
              </w:rPr>
              <w:lastRenderedPageBreak/>
              <w:t>La conținut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06AC13" w14:textId="76376703" w:rsidR="00013A44" w:rsidRPr="007F4EDF" w:rsidRDefault="00013A44" w:rsidP="00013A44">
            <w:pPr>
              <w:spacing w:after="0" w:line="240" w:lineRule="auto"/>
              <w:jc w:val="center"/>
              <w:rPr>
                <w:rFonts w:ascii="Times New Roman" w:eastAsia="Times New Roman" w:hAnsi="Times New Roman" w:cs="Times New Roman"/>
                <w:bCs/>
                <w:lang w:val="ro-RO" w:eastAsia="ru-RU"/>
              </w:rPr>
            </w:pPr>
            <w:r w:rsidRPr="007F4EDF">
              <w:rPr>
                <w:rFonts w:ascii="Times New Roman" w:eastAsia="Times New Roman" w:hAnsi="Times New Roman" w:cs="Times New Roman"/>
                <w:bCs/>
                <w:lang w:val="ro-RO" w:eastAsia="ru-RU"/>
              </w:rPr>
              <w:t>Î.C.S. „Premier Energy</w:t>
            </w:r>
            <w:r>
              <w:rPr>
                <w:rFonts w:ascii="Times New Roman" w:eastAsia="Times New Roman" w:hAnsi="Times New Roman" w:cs="Times New Roman"/>
                <w:bCs/>
                <w:lang w:val="ro-RO" w:eastAsia="ru-RU"/>
              </w:rPr>
              <w:t xml:space="preserve"> Distribution” S.A</w:t>
            </w:r>
            <w:r w:rsidRPr="007F4EDF">
              <w:rPr>
                <w:rFonts w:ascii="Times New Roman" w:eastAsia="Times New Roman" w:hAnsi="Times New Roman" w:cs="Times New Roman"/>
                <w:bCs/>
                <w:lang w:val="ro-RO" w:eastAsia="ru-RU"/>
              </w:rPr>
              <w:t>.</w:t>
            </w:r>
          </w:p>
        </w:tc>
        <w:tc>
          <w:tcPr>
            <w:tcW w:w="4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042467" w14:textId="1FE99511" w:rsidR="00013A44" w:rsidRPr="007F4EDF" w:rsidRDefault="00013A44" w:rsidP="00013A44">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w:t>
            </w:r>
          </w:p>
        </w:tc>
        <w:tc>
          <w:tcPr>
            <w:tcW w:w="23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2FB08D" w14:textId="77777777" w:rsidR="00013A44" w:rsidRPr="00013A44" w:rsidRDefault="00013A44" w:rsidP="00013A44">
            <w:pPr>
              <w:autoSpaceDE w:val="0"/>
              <w:autoSpaceDN w:val="0"/>
              <w:adjustRightInd w:val="0"/>
              <w:spacing w:after="0" w:line="240" w:lineRule="auto"/>
              <w:rPr>
                <w:rFonts w:ascii="Times New Roman" w:hAnsi="Times New Roman" w:cs="Times New Roman"/>
                <w:color w:val="000000"/>
                <w:sz w:val="24"/>
                <w:szCs w:val="24"/>
                <w:lang w:val="ro-MD"/>
              </w:rPr>
            </w:pPr>
          </w:p>
          <w:p w14:paraId="1494EF90" w14:textId="69D89AC3"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În cadrul consultării publice a proiectului de </w:t>
            </w:r>
            <w:r w:rsidRPr="00013A44">
              <w:rPr>
                <w:rFonts w:ascii="Times New Roman" w:hAnsi="Times New Roman" w:cs="Times New Roman"/>
                <w:i/>
                <w:iCs/>
                <w:color w:val="000000"/>
                <w:lang w:val="ro-MD"/>
              </w:rPr>
              <w:t>Hotărâre privind stabilirea mecanismului de normalizare a prețurilor pe piața energiei electrice de echilibrare și pentru decontarea dezechilibrelor, publicat cu Nr.2685</w:t>
            </w:r>
            <w:r w:rsidRPr="00013A44">
              <w:rPr>
                <w:rFonts w:ascii="Times New Roman" w:hAnsi="Times New Roman" w:cs="Times New Roman"/>
                <w:color w:val="000000"/>
                <w:lang w:val="ro-MD"/>
              </w:rPr>
              <w:t xml:space="preserve">, Î.C.S. „Premier Energy Distribution” S.A. prezintă o serie de observații şi propuneri cu scopul de a argumenta necesitatea de revizuire a plafonului propus pentru prețul dezechilibrelor. </w:t>
            </w:r>
          </w:p>
          <w:p w14:paraId="30B71D1D"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Proiectul respectiv de reglementare are ca scop stabilirea unor plafoane de preț pentru a limita costurile volatile generate de dezechilibrele din sistemul electroenergetic care ar afecta Părțile Responsabile de Echilibrare (PRE). Datorită volatilităţii crescute de pe piața de echilibrare, PRE-urile vor fi expuse la riscuri financiare considerabile, din informaţiile puse la dispoziţie fiind identificate prețuri ce depăşesc 100.000 MDL/MWh. </w:t>
            </w:r>
          </w:p>
          <w:p w14:paraId="7BE4A50B"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Totodată, pe piaţa energiei electrice din Republica Moldova se atestă un set de limitări ce reduc capacitatea participanților la piaţă de a gestiona dezechilibrele formate și riscurile financiare aferente acestora, cum ar fi: </w:t>
            </w:r>
          </w:p>
          <w:p w14:paraId="0D9C8A17" w14:textId="77777777" w:rsidR="00013A44" w:rsidRPr="00013A44" w:rsidRDefault="00013A44" w:rsidP="00013A44">
            <w:pPr>
              <w:numPr>
                <w:ilvl w:val="0"/>
                <w:numId w:val="8"/>
              </w:numPr>
              <w:autoSpaceDE w:val="0"/>
              <w:autoSpaceDN w:val="0"/>
              <w:adjustRightInd w:val="0"/>
              <w:spacing w:after="23"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Prezenţa furnizorului cu obligație de serviciu public, care activează în afara condițiilor concurențiale; </w:t>
            </w:r>
          </w:p>
          <w:p w14:paraId="496A47D5" w14:textId="77777777" w:rsidR="00013A44" w:rsidRPr="00013A44" w:rsidRDefault="00013A44" w:rsidP="00013A44">
            <w:pPr>
              <w:numPr>
                <w:ilvl w:val="0"/>
                <w:numId w:val="8"/>
              </w:numPr>
              <w:autoSpaceDE w:val="0"/>
              <w:autoSpaceDN w:val="0"/>
              <w:adjustRightInd w:val="0"/>
              <w:spacing w:after="23"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Lichiditatea redusă a pieței organizate (PZU și PI); </w:t>
            </w:r>
          </w:p>
          <w:p w14:paraId="0D52880E" w14:textId="77777777" w:rsidR="00013A44" w:rsidRPr="00013A44" w:rsidRDefault="00013A44" w:rsidP="00013A44">
            <w:pPr>
              <w:numPr>
                <w:ilvl w:val="0"/>
                <w:numId w:val="8"/>
              </w:numPr>
              <w:autoSpaceDE w:val="0"/>
              <w:autoSpaceDN w:val="0"/>
              <w:adjustRightInd w:val="0"/>
              <w:spacing w:after="0"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Capacitatea transfrontalieră limitată. </w:t>
            </w:r>
          </w:p>
          <w:p w14:paraId="323A341D"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p>
          <w:p w14:paraId="7DEE0AC2"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În continuare, considerăm că stabilirea plafonului pentru decontarea dezechilibrelor egal cu ±15.000 MDL/MWh, nu este argumentată suficient, astfel încât să justifice aplicarea majorării de 50% față de plafonul de 10.000 MDL/MWh stabilit pentru energia de echilibrare. </w:t>
            </w:r>
          </w:p>
          <w:p w14:paraId="301FA698"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Prin urmare, revenind la obiectivul urmărit de Agenție prin aplicarea plafonării, și anume asigurarea unei funcționări stabile, predictibile și echilibrate a pieței energiei electrice la etapa inițială de implementare a mecanismelor moderne de echilibrare în Republica Moldova, considerăm că o abordare graduală ar răspunde mai bine obiectivelor urmărite de către Agenţie. </w:t>
            </w:r>
          </w:p>
          <w:p w14:paraId="07CD943A" w14:textId="2B07A13D"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r w:rsidRPr="00013A44">
              <w:rPr>
                <w:rFonts w:ascii="Times New Roman" w:hAnsi="Times New Roman" w:cs="Times New Roman"/>
                <w:color w:val="000000"/>
                <w:lang w:val="ro-MD"/>
              </w:rPr>
              <w:t xml:space="preserve">În continuare, propunem spre analiză aplicarea unei soluții tranzitorii pentru decontarea dezechilibrelor în excedent, care să prevadă stabilirea unui plafon minim de preț apropiat de zero, în locul aplicării unor valori negative, iar pentru dezechilibrele în deficit aplicarea unei majorări graduale a plafoanelor de preţ. Astfel, propunem implementarea unei perioade de tranzit în care pentru dezechilibrele în excedent să fie aplicat un plafon minim apropiat de </w:t>
            </w:r>
            <w:r w:rsidRPr="00013A44">
              <w:rPr>
                <w:rFonts w:ascii="Times New Roman" w:hAnsi="Times New Roman" w:cs="Times New Roman"/>
                <w:color w:val="000000"/>
                <w:lang w:val="ro-MD"/>
              </w:rPr>
              <w:lastRenderedPageBreak/>
              <w:t>zero, iar pentru dezechilibrele în deficit plafonul să crească gradual conform următorului calendar:</w:t>
            </w:r>
          </w:p>
          <w:p w14:paraId="5EC17C7F" w14:textId="3FD1FE16"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p>
          <w:p w14:paraId="760D65AF"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color w:val="000000"/>
                <w:lang w:val="ro-MD"/>
              </w:rPr>
            </w:pPr>
          </w:p>
          <w:tbl>
            <w:tblPr>
              <w:tblStyle w:val="TableGrid"/>
              <w:tblW w:w="0" w:type="auto"/>
              <w:tblLook w:val="04A0" w:firstRow="1" w:lastRow="0" w:firstColumn="1" w:lastColumn="0" w:noHBand="0" w:noVBand="1"/>
            </w:tblPr>
            <w:tblGrid>
              <w:gridCol w:w="2254"/>
              <w:gridCol w:w="2255"/>
              <w:gridCol w:w="2255"/>
            </w:tblGrid>
            <w:tr w:rsidR="00013A44" w:rsidRPr="00013A44" w14:paraId="1B7205C9" w14:textId="77777777" w:rsidTr="00017B02">
              <w:tc>
                <w:tcPr>
                  <w:tcW w:w="2254" w:type="dxa"/>
                  <w:vAlign w:val="center"/>
                </w:tcPr>
                <w:p w14:paraId="74BC343B"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Perioada</w:t>
                  </w:r>
                </w:p>
              </w:tc>
              <w:tc>
                <w:tcPr>
                  <w:tcW w:w="2255" w:type="dxa"/>
                  <w:vAlign w:val="center"/>
                </w:tcPr>
                <w:p w14:paraId="732CC05B"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Limita de preț dezechilibre deficit (MDL/MWh</w:t>
                  </w:r>
                </w:p>
              </w:tc>
              <w:tc>
                <w:tcPr>
                  <w:tcW w:w="2255" w:type="dxa"/>
                  <w:vAlign w:val="center"/>
                </w:tcPr>
                <w:p w14:paraId="16DC45E4"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Limita de preț dezechilibre excedent (MDL/MWh)</w:t>
                  </w:r>
                </w:p>
              </w:tc>
            </w:tr>
            <w:tr w:rsidR="00013A44" w:rsidRPr="00013A44" w14:paraId="04DD8077" w14:textId="77777777" w:rsidTr="00017B02">
              <w:tc>
                <w:tcPr>
                  <w:tcW w:w="2254" w:type="dxa"/>
                </w:tcPr>
                <w:p w14:paraId="0054AE37"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Până la 31.12.2026</w:t>
                  </w:r>
                </w:p>
              </w:tc>
              <w:tc>
                <w:tcPr>
                  <w:tcW w:w="2255" w:type="dxa"/>
                  <w:vAlign w:val="center"/>
                </w:tcPr>
                <w:p w14:paraId="4BAC1E51"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+ 5 000</w:t>
                  </w:r>
                </w:p>
              </w:tc>
              <w:tc>
                <w:tcPr>
                  <w:tcW w:w="2255" w:type="dxa"/>
                  <w:vAlign w:val="center"/>
                </w:tcPr>
                <w:p w14:paraId="2513D4F5"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0</w:t>
                  </w:r>
                </w:p>
              </w:tc>
            </w:tr>
            <w:tr w:rsidR="00013A44" w:rsidRPr="00013A44" w14:paraId="7C38E6AC" w14:textId="77777777" w:rsidTr="00017B02">
              <w:tc>
                <w:tcPr>
                  <w:tcW w:w="2254" w:type="dxa"/>
                </w:tcPr>
                <w:p w14:paraId="40961751"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01.01.2027 – 30.06.2027</w:t>
                  </w:r>
                </w:p>
              </w:tc>
              <w:tc>
                <w:tcPr>
                  <w:tcW w:w="2255" w:type="dxa"/>
                  <w:vAlign w:val="center"/>
                </w:tcPr>
                <w:p w14:paraId="59096035"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+ 7 500</w:t>
                  </w:r>
                </w:p>
              </w:tc>
              <w:tc>
                <w:tcPr>
                  <w:tcW w:w="2255" w:type="dxa"/>
                  <w:vAlign w:val="center"/>
                </w:tcPr>
                <w:p w14:paraId="57BCACAA"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0</w:t>
                  </w:r>
                </w:p>
              </w:tc>
            </w:tr>
            <w:tr w:rsidR="00013A44" w:rsidRPr="00013A44" w14:paraId="53EC4B0A" w14:textId="77777777" w:rsidTr="00017B02">
              <w:tc>
                <w:tcPr>
                  <w:tcW w:w="2254" w:type="dxa"/>
                </w:tcPr>
                <w:p w14:paraId="2DF64A6C"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Începând cu 01.07.2027</w:t>
                  </w:r>
                </w:p>
              </w:tc>
              <w:tc>
                <w:tcPr>
                  <w:tcW w:w="2255" w:type="dxa"/>
                  <w:vAlign w:val="center"/>
                </w:tcPr>
                <w:p w14:paraId="5C91E77A"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+ 10 000</w:t>
                  </w:r>
                </w:p>
              </w:tc>
              <w:tc>
                <w:tcPr>
                  <w:tcW w:w="2255" w:type="dxa"/>
                  <w:vAlign w:val="center"/>
                </w:tcPr>
                <w:p w14:paraId="646A0FC8" w14:textId="77777777" w:rsidR="00013A44" w:rsidRPr="00013A44" w:rsidRDefault="00013A44" w:rsidP="00013A44">
                  <w:pPr>
                    <w:autoSpaceDE w:val="0"/>
                    <w:autoSpaceDN w:val="0"/>
                    <w:adjustRightInd w:val="0"/>
                    <w:jc w:val="center"/>
                    <w:rPr>
                      <w:rFonts w:ascii="Times New Roman" w:hAnsi="Times New Roman" w:cs="Times New Roman"/>
                      <w:lang w:val="ro-MD"/>
                    </w:rPr>
                  </w:pPr>
                  <w:r w:rsidRPr="00013A44">
                    <w:rPr>
                      <w:rFonts w:ascii="Times New Roman" w:hAnsi="Times New Roman" w:cs="Times New Roman"/>
                      <w:lang w:val="ro-MD"/>
                    </w:rPr>
                    <w:t>0</w:t>
                  </w:r>
                </w:p>
              </w:tc>
            </w:tr>
          </w:tbl>
          <w:p w14:paraId="39578D14"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lang w:val="ro-MD"/>
              </w:rPr>
            </w:pPr>
          </w:p>
          <w:p w14:paraId="2549EE35" w14:textId="77777777" w:rsidR="00013A44" w:rsidRPr="00013A44" w:rsidRDefault="00013A44" w:rsidP="00013A44">
            <w:pPr>
              <w:autoSpaceDE w:val="0"/>
              <w:autoSpaceDN w:val="0"/>
              <w:adjustRightInd w:val="0"/>
              <w:spacing w:after="0" w:line="240" w:lineRule="auto"/>
              <w:jc w:val="both"/>
              <w:rPr>
                <w:rFonts w:ascii="Times New Roman" w:hAnsi="Times New Roman" w:cs="Times New Roman"/>
                <w:lang w:val="ro-MD"/>
              </w:rPr>
            </w:pPr>
          </w:p>
          <w:p w14:paraId="71F5528A" w14:textId="08D27664" w:rsidR="00013A44" w:rsidRPr="00013A44" w:rsidRDefault="00013A44" w:rsidP="00013A44">
            <w:pPr>
              <w:autoSpaceDE w:val="0"/>
              <w:autoSpaceDN w:val="0"/>
              <w:adjustRightInd w:val="0"/>
              <w:spacing w:after="0" w:line="240" w:lineRule="auto"/>
              <w:jc w:val="both"/>
              <w:rPr>
                <w:rFonts w:ascii="Times New Roman" w:hAnsi="Times New Roman" w:cs="Times New Roman"/>
                <w:lang w:val="en-US"/>
              </w:rPr>
            </w:pPr>
            <w:r w:rsidRPr="00013A44">
              <w:rPr>
                <w:rFonts w:ascii="Times New Roman" w:hAnsi="Times New Roman" w:cs="Times New Roman"/>
                <w:lang w:val="ro-MD"/>
              </w:rPr>
              <w:t>O asemenea soluție ar permite păstrarea semnalelor economice necesare funcționării pieței, reducând în același timp riscurile excesive pentru participanții la piaţă și facilitând dezvoltarea graduală a pieței energiei electrice din Republica Moldova.</w:t>
            </w:r>
          </w:p>
        </w:tc>
        <w:tc>
          <w:tcPr>
            <w:tcW w:w="115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AAC172" w14:textId="77777777" w:rsidR="00013A44"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3B2F0B">
              <w:rPr>
                <w:rFonts w:ascii="Times New Roman" w:eastAsia="Times New Roman" w:hAnsi="Times New Roman" w:cs="Times New Roman"/>
                <w:b/>
                <w:lang w:val="ro-RO"/>
              </w:rPr>
              <w:lastRenderedPageBreak/>
              <w:t xml:space="preserve">Se acceptă parțial. </w:t>
            </w:r>
          </w:p>
          <w:p w14:paraId="4DCBFF37" w14:textId="77777777" w:rsidR="00013A44"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260AC1CA" w14:textId="77777777" w:rsidR="00013A44" w:rsidRPr="00012CC7"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Astfel</w:t>
            </w:r>
            <w:r>
              <w:rPr>
                <w:rFonts w:ascii="Times New Roman" w:eastAsia="Times New Roman" w:hAnsi="Times New Roman" w:cs="Times New Roman"/>
                <w:lang w:val="ro-RO"/>
              </w:rPr>
              <w:t>,</w:t>
            </w:r>
            <w:r w:rsidRPr="00012CC7">
              <w:rPr>
                <w:rFonts w:ascii="Times New Roman" w:eastAsia="Times New Roman" w:hAnsi="Times New Roman" w:cs="Times New Roman"/>
                <w:lang w:val="ro-RO"/>
              </w:rPr>
              <w:t xml:space="preserve"> se propune aplicarea următoarelor valori: </w:t>
            </w:r>
          </w:p>
          <w:p w14:paraId="05B92FF0" w14:textId="77777777" w:rsidR="00013A44" w:rsidRPr="00012CC7"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p>
          <w:p w14:paraId="2C70BD97" w14:textId="77777777" w:rsidR="00013A44" w:rsidRPr="00012CC7" w:rsidRDefault="00013A44" w:rsidP="00013A44">
            <w:pPr>
              <w:tabs>
                <w:tab w:val="left" w:pos="627"/>
                <w:tab w:val="left" w:pos="851"/>
              </w:tabs>
              <w:spacing w:after="0" w:line="240" w:lineRule="auto"/>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 xml:space="preserve">1.1 pentru energia electrică de echilibrare la creștere de putere – </w:t>
            </w:r>
            <w:r w:rsidRPr="00012CC7">
              <w:rPr>
                <w:rFonts w:ascii="Times New Roman" w:eastAsia="Times New Roman" w:hAnsi="Times New Roman" w:cs="Times New Roman"/>
                <w:b/>
                <w:lang w:val="ro-RO"/>
              </w:rPr>
              <w:t>(+) 8 000 lei/MWh;</w:t>
            </w:r>
          </w:p>
          <w:p w14:paraId="7C26148E" w14:textId="77777777" w:rsidR="00013A44" w:rsidRPr="00012CC7"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r w:rsidRPr="00012CC7">
              <w:rPr>
                <w:rFonts w:ascii="Times New Roman" w:eastAsia="Times New Roman" w:hAnsi="Times New Roman" w:cs="Times New Roman"/>
                <w:lang w:val="ro-RO"/>
              </w:rPr>
              <w:t>1.2.</w:t>
            </w:r>
            <w:r w:rsidRPr="00012CC7">
              <w:rPr>
                <w:rFonts w:ascii="Times New Roman" w:eastAsia="Times New Roman" w:hAnsi="Times New Roman" w:cs="Times New Roman"/>
                <w:lang w:val="ro-RO"/>
              </w:rPr>
              <w:tab/>
              <w:t xml:space="preserve"> pentru energia electrică de echilibrare la reducere de putere – (-) </w:t>
            </w:r>
            <w:r w:rsidRPr="00012CC7">
              <w:rPr>
                <w:rFonts w:ascii="Times New Roman" w:eastAsia="Times New Roman" w:hAnsi="Times New Roman" w:cs="Times New Roman"/>
                <w:b/>
                <w:lang w:val="ro-RO"/>
              </w:rPr>
              <w:t>8 000 lei/MWh.</w:t>
            </w:r>
          </w:p>
          <w:p w14:paraId="5BEF8F75" w14:textId="77777777" w:rsidR="00013A44" w:rsidRPr="00012CC7"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p>
          <w:p w14:paraId="105F6FB9" w14:textId="009A3314" w:rsidR="00013A44" w:rsidRPr="00012CC7" w:rsidRDefault="00013A44" w:rsidP="00013A44">
            <w:pPr>
              <w:tabs>
                <w:tab w:val="left" w:pos="627"/>
                <w:tab w:val="left" w:pos="851"/>
              </w:tabs>
              <w:spacing w:after="0" w:line="240" w:lineRule="auto"/>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2.1.</w:t>
            </w:r>
            <w:r w:rsidRPr="00012CC7">
              <w:rPr>
                <w:rFonts w:ascii="Times New Roman" w:eastAsia="Times New Roman" w:hAnsi="Times New Roman" w:cs="Times New Roman"/>
                <w:lang w:val="ro-RO"/>
              </w:rPr>
              <w:tab/>
              <w:t xml:space="preserve"> Limita de preț pozitiv - (+) </w:t>
            </w:r>
            <w:r w:rsidR="00185E08">
              <w:rPr>
                <w:rFonts w:ascii="Times New Roman" w:eastAsia="Times New Roman" w:hAnsi="Times New Roman" w:cs="Times New Roman"/>
                <w:lang w:val="ro-RO"/>
              </w:rPr>
              <w:t xml:space="preserve">   </w:t>
            </w:r>
            <w:r w:rsidRPr="00012CC7">
              <w:rPr>
                <w:rFonts w:ascii="Times New Roman" w:eastAsia="Times New Roman" w:hAnsi="Times New Roman" w:cs="Times New Roman"/>
                <w:b/>
                <w:lang w:val="ro-RO"/>
              </w:rPr>
              <w:t>12 000 lei/MWh;</w:t>
            </w:r>
          </w:p>
          <w:p w14:paraId="384DB51E" w14:textId="51F6A22F" w:rsidR="00013A44" w:rsidRPr="00012CC7"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lang w:val="ro-RO"/>
              </w:rPr>
            </w:pPr>
            <w:r w:rsidRPr="00012CC7">
              <w:rPr>
                <w:rFonts w:ascii="Times New Roman" w:eastAsia="Times New Roman" w:hAnsi="Times New Roman" w:cs="Times New Roman"/>
                <w:lang w:val="ro-RO"/>
              </w:rPr>
              <w:t>2.2.</w:t>
            </w:r>
            <w:r w:rsidRPr="00012CC7">
              <w:rPr>
                <w:rFonts w:ascii="Times New Roman" w:eastAsia="Times New Roman" w:hAnsi="Times New Roman" w:cs="Times New Roman"/>
                <w:lang w:val="ro-RO"/>
              </w:rPr>
              <w:tab/>
              <w:t xml:space="preserve"> Limita de preț negativ - (-) </w:t>
            </w:r>
            <w:r w:rsidR="00185E08">
              <w:rPr>
                <w:rFonts w:ascii="Times New Roman" w:eastAsia="Times New Roman" w:hAnsi="Times New Roman" w:cs="Times New Roman"/>
                <w:lang w:val="ro-RO"/>
              </w:rPr>
              <w:t xml:space="preserve">    </w:t>
            </w:r>
            <w:r w:rsidRPr="00012CC7">
              <w:rPr>
                <w:rFonts w:ascii="Times New Roman" w:eastAsia="Times New Roman" w:hAnsi="Times New Roman" w:cs="Times New Roman"/>
                <w:b/>
                <w:lang w:val="ro-RO"/>
              </w:rPr>
              <w:t>12 000 lei/MWh.</w:t>
            </w:r>
          </w:p>
          <w:p w14:paraId="6B6C7124" w14:textId="77777777" w:rsidR="00013A44" w:rsidRPr="003B2F0B" w:rsidRDefault="00013A44" w:rsidP="00013A44">
            <w:pPr>
              <w:pStyle w:val="ListParagraph"/>
              <w:tabs>
                <w:tab w:val="left" w:pos="627"/>
                <w:tab w:val="left" w:pos="851"/>
              </w:tabs>
              <w:spacing w:after="0" w:line="240" w:lineRule="auto"/>
              <w:ind w:left="0"/>
              <w:jc w:val="both"/>
              <w:rPr>
                <w:rFonts w:ascii="Times New Roman" w:eastAsia="Times New Roman" w:hAnsi="Times New Roman" w:cs="Times New Roman"/>
                <w:b/>
                <w:lang w:val="ro-RO"/>
              </w:rPr>
            </w:pPr>
            <w:bookmarkStart w:id="0" w:name="_GoBack"/>
            <w:bookmarkEnd w:id="0"/>
          </w:p>
        </w:tc>
      </w:tr>
    </w:tbl>
    <w:p w14:paraId="33DFD2EF" w14:textId="29BAF3B7" w:rsidR="009E7139" w:rsidRPr="007F4EDF" w:rsidRDefault="009E7139" w:rsidP="003B2F0B">
      <w:pPr>
        <w:rPr>
          <w:rFonts w:ascii="Times New Roman" w:hAnsi="Times New Roman" w:cs="Times New Roman"/>
          <w:lang w:val="ro-RO"/>
        </w:rPr>
      </w:pPr>
    </w:p>
    <w:sectPr w:rsidR="009E7139" w:rsidRPr="007F4EDF"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21D2E" w14:textId="77777777" w:rsidR="00C77CCA" w:rsidRDefault="00C77CCA" w:rsidP="0035730E">
      <w:pPr>
        <w:spacing w:after="0" w:line="240" w:lineRule="auto"/>
      </w:pPr>
      <w:r>
        <w:separator/>
      </w:r>
    </w:p>
  </w:endnote>
  <w:endnote w:type="continuationSeparator" w:id="0">
    <w:p w14:paraId="5FB4A619" w14:textId="77777777" w:rsidR="00C77CCA" w:rsidRDefault="00C77CCA"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5548F" w14:textId="77777777" w:rsidR="00C77CCA" w:rsidRDefault="00C77CCA" w:rsidP="0035730E">
      <w:pPr>
        <w:spacing w:after="0" w:line="240" w:lineRule="auto"/>
      </w:pPr>
      <w:r>
        <w:separator/>
      </w:r>
    </w:p>
  </w:footnote>
  <w:footnote w:type="continuationSeparator" w:id="0">
    <w:p w14:paraId="43617070" w14:textId="77777777" w:rsidR="00C77CCA" w:rsidRDefault="00C77CCA"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A61E63"/>
    <w:multiLevelType w:val="hybridMultilevel"/>
    <w:tmpl w:val="B7F5BE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30F76"/>
    <w:multiLevelType w:val="hybridMultilevel"/>
    <w:tmpl w:val="4C724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D76C4"/>
    <w:multiLevelType w:val="hybridMultilevel"/>
    <w:tmpl w:val="A2E84664"/>
    <w:lvl w:ilvl="0" w:tplc="7A9E71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F287F"/>
    <w:multiLevelType w:val="hybridMultilevel"/>
    <w:tmpl w:val="57142526"/>
    <w:lvl w:ilvl="0" w:tplc="406CE2B8">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6940FCA"/>
    <w:multiLevelType w:val="hybridMultilevel"/>
    <w:tmpl w:val="4308D604"/>
    <w:lvl w:ilvl="0" w:tplc="B39AB25E">
      <w:start w:val="1"/>
      <w:numFmt w:val="upperRoman"/>
      <w:lvlText w:val="%1."/>
      <w:lvlJc w:val="left"/>
      <w:pPr>
        <w:ind w:left="794" w:hanging="72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5" w15:restartNumberingAfterBreak="0">
    <w:nsid w:val="402E678E"/>
    <w:multiLevelType w:val="hybridMultilevel"/>
    <w:tmpl w:val="AC1C5FDC"/>
    <w:lvl w:ilvl="0" w:tplc="198A2A22">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41C5619D"/>
    <w:multiLevelType w:val="hybridMultilevel"/>
    <w:tmpl w:val="0844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900116"/>
    <w:multiLevelType w:val="hybridMultilevel"/>
    <w:tmpl w:val="F68A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5"/>
  </w:num>
  <w:num w:numId="6">
    <w:abstractNumId w:val="3"/>
  </w:num>
  <w:num w:numId="7">
    <w:abstractNumId w:val="2"/>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13A44"/>
    <w:rsid w:val="00015A90"/>
    <w:rsid w:val="00016F46"/>
    <w:rsid w:val="00024A00"/>
    <w:rsid w:val="00025694"/>
    <w:rsid w:val="00026324"/>
    <w:rsid w:val="00032504"/>
    <w:rsid w:val="00032769"/>
    <w:rsid w:val="000359C2"/>
    <w:rsid w:val="000361F2"/>
    <w:rsid w:val="00036EE1"/>
    <w:rsid w:val="00036EFA"/>
    <w:rsid w:val="00037034"/>
    <w:rsid w:val="00040ED3"/>
    <w:rsid w:val="000434B4"/>
    <w:rsid w:val="00044494"/>
    <w:rsid w:val="000474CF"/>
    <w:rsid w:val="000503E6"/>
    <w:rsid w:val="00060130"/>
    <w:rsid w:val="00061946"/>
    <w:rsid w:val="00071965"/>
    <w:rsid w:val="0007247A"/>
    <w:rsid w:val="000763BD"/>
    <w:rsid w:val="000778EB"/>
    <w:rsid w:val="00080A75"/>
    <w:rsid w:val="000862A0"/>
    <w:rsid w:val="000872E4"/>
    <w:rsid w:val="00092700"/>
    <w:rsid w:val="00093AFB"/>
    <w:rsid w:val="00094D55"/>
    <w:rsid w:val="00095B21"/>
    <w:rsid w:val="000A32C3"/>
    <w:rsid w:val="000A3EB5"/>
    <w:rsid w:val="000A5565"/>
    <w:rsid w:val="000A5767"/>
    <w:rsid w:val="000B2228"/>
    <w:rsid w:val="000B6A01"/>
    <w:rsid w:val="000C2679"/>
    <w:rsid w:val="000C38C0"/>
    <w:rsid w:val="000C3DD6"/>
    <w:rsid w:val="000C5563"/>
    <w:rsid w:val="000D030A"/>
    <w:rsid w:val="000D6917"/>
    <w:rsid w:val="000E1C3F"/>
    <w:rsid w:val="000E50C9"/>
    <w:rsid w:val="000E52C7"/>
    <w:rsid w:val="000E6027"/>
    <w:rsid w:val="000E6742"/>
    <w:rsid w:val="000E6C35"/>
    <w:rsid w:val="000F1934"/>
    <w:rsid w:val="000F3DBD"/>
    <w:rsid w:val="000F6686"/>
    <w:rsid w:val="000F6E17"/>
    <w:rsid w:val="000F6F21"/>
    <w:rsid w:val="000F79EB"/>
    <w:rsid w:val="001011BC"/>
    <w:rsid w:val="0010152E"/>
    <w:rsid w:val="00104024"/>
    <w:rsid w:val="0010535E"/>
    <w:rsid w:val="001061A3"/>
    <w:rsid w:val="001070EB"/>
    <w:rsid w:val="00111D53"/>
    <w:rsid w:val="00114016"/>
    <w:rsid w:val="00116831"/>
    <w:rsid w:val="001172BD"/>
    <w:rsid w:val="001177F6"/>
    <w:rsid w:val="00117DCC"/>
    <w:rsid w:val="00121CD3"/>
    <w:rsid w:val="00124769"/>
    <w:rsid w:val="00124D57"/>
    <w:rsid w:val="00130555"/>
    <w:rsid w:val="00130C1E"/>
    <w:rsid w:val="00130F07"/>
    <w:rsid w:val="00132B6B"/>
    <w:rsid w:val="0013414D"/>
    <w:rsid w:val="00137580"/>
    <w:rsid w:val="00137ECB"/>
    <w:rsid w:val="00141EED"/>
    <w:rsid w:val="0014240D"/>
    <w:rsid w:val="00142740"/>
    <w:rsid w:val="00154346"/>
    <w:rsid w:val="00156826"/>
    <w:rsid w:val="00157749"/>
    <w:rsid w:val="0015779C"/>
    <w:rsid w:val="001612C6"/>
    <w:rsid w:val="00161911"/>
    <w:rsid w:val="00161F25"/>
    <w:rsid w:val="00162B32"/>
    <w:rsid w:val="00165D4B"/>
    <w:rsid w:val="00171185"/>
    <w:rsid w:val="00176541"/>
    <w:rsid w:val="00176608"/>
    <w:rsid w:val="00177EDD"/>
    <w:rsid w:val="00181D0D"/>
    <w:rsid w:val="00182007"/>
    <w:rsid w:val="0018215D"/>
    <w:rsid w:val="00183D40"/>
    <w:rsid w:val="00184B58"/>
    <w:rsid w:val="00185E08"/>
    <w:rsid w:val="00185FE8"/>
    <w:rsid w:val="00187FE7"/>
    <w:rsid w:val="00190D29"/>
    <w:rsid w:val="00191A3D"/>
    <w:rsid w:val="001925E8"/>
    <w:rsid w:val="00193228"/>
    <w:rsid w:val="00193BFD"/>
    <w:rsid w:val="0019425F"/>
    <w:rsid w:val="00197D51"/>
    <w:rsid w:val="001A1022"/>
    <w:rsid w:val="001A1AD0"/>
    <w:rsid w:val="001A21E8"/>
    <w:rsid w:val="001A4FF3"/>
    <w:rsid w:val="001B6EAC"/>
    <w:rsid w:val="001C072A"/>
    <w:rsid w:val="001D277F"/>
    <w:rsid w:val="001D3F6E"/>
    <w:rsid w:val="001D5BD7"/>
    <w:rsid w:val="001E1CF2"/>
    <w:rsid w:val="001E3B0B"/>
    <w:rsid w:val="001E652E"/>
    <w:rsid w:val="001E6726"/>
    <w:rsid w:val="001F31AE"/>
    <w:rsid w:val="001F379C"/>
    <w:rsid w:val="001F3A61"/>
    <w:rsid w:val="00202372"/>
    <w:rsid w:val="002023DB"/>
    <w:rsid w:val="00203B4D"/>
    <w:rsid w:val="002123EF"/>
    <w:rsid w:val="00214A3A"/>
    <w:rsid w:val="002165AB"/>
    <w:rsid w:val="002179A0"/>
    <w:rsid w:val="002217D2"/>
    <w:rsid w:val="002220C1"/>
    <w:rsid w:val="0023027B"/>
    <w:rsid w:val="00242150"/>
    <w:rsid w:val="0024301B"/>
    <w:rsid w:val="00245A7F"/>
    <w:rsid w:val="00246AEF"/>
    <w:rsid w:val="002501F4"/>
    <w:rsid w:val="00250B7E"/>
    <w:rsid w:val="00252201"/>
    <w:rsid w:val="00252490"/>
    <w:rsid w:val="00256502"/>
    <w:rsid w:val="00261C54"/>
    <w:rsid w:val="002635C3"/>
    <w:rsid w:val="00264035"/>
    <w:rsid w:val="002654B6"/>
    <w:rsid w:val="00265C96"/>
    <w:rsid w:val="00267E28"/>
    <w:rsid w:val="00271364"/>
    <w:rsid w:val="002743F4"/>
    <w:rsid w:val="002852D8"/>
    <w:rsid w:val="00286813"/>
    <w:rsid w:val="00287F40"/>
    <w:rsid w:val="002912FF"/>
    <w:rsid w:val="0029599A"/>
    <w:rsid w:val="00296B30"/>
    <w:rsid w:val="002A1380"/>
    <w:rsid w:val="002A1988"/>
    <w:rsid w:val="002A2014"/>
    <w:rsid w:val="002A3B27"/>
    <w:rsid w:val="002A3D9D"/>
    <w:rsid w:val="002A6AC0"/>
    <w:rsid w:val="002B057F"/>
    <w:rsid w:val="002B1A2A"/>
    <w:rsid w:val="002B3D4E"/>
    <w:rsid w:val="002B71C7"/>
    <w:rsid w:val="002B7897"/>
    <w:rsid w:val="002C3D82"/>
    <w:rsid w:val="002C3E62"/>
    <w:rsid w:val="002C43BE"/>
    <w:rsid w:val="002D0F2A"/>
    <w:rsid w:val="002D37AA"/>
    <w:rsid w:val="002D734C"/>
    <w:rsid w:val="002E0E2C"/>
    <w:rsid w:val="002E5742"/>
    <w:rsid w:val="002E5D69"/>
    <w:rsid w:val="002E633C"/>
    <w:rsid w:val="002E70D9"/>
    <w:rsid w:val="002F64E8"/>
    <w:rsid w:val="002F6FA2"/>
    <w:rsid w:val="00302190"/>
    <w:rsid w:val="0030221A"/>
    <w:rsid w:val="00302C6F"/>
    <w:rsid w:val="00307438"/>
    <w:rsid w:val="00312E55"/>
    <w:rsid w:val="003233FC"/>
    <w:rsid w:val="00327467"/>
    <w:rsid w:val="003301E2"/>
    <w:rsid w:val="003320D2"/>
    <w:rsid w:val="00342503"/>
    <w:rsid w:val="00342668"/>
    <w:rsid w:val="00342786"/>
    <w:rsid w:val="00344F2A"/>
    <w:rsid w:val="00353F6A"/>
    <w:rsid w:val="0035730E"/>
    <w:rsid w:val="003735E4"/>
    <w:rsid w:val="00375EDD"/>
    <w:rsid w:val="003809AE"/>
    <w:rsid w:val="003818FD"/>
    <w:rsid w:val="00382853"/>
    <w:rsid w:val="00384051"/>
    <w:rsid w:val="003845BF"/>
    <w:rsid w:val="0038498B"/>
    <w:rsid w:val="00385269"/>
    <w:rsid w:val="003867A8"/>
    <w:rsid w:val="003903B9"/>
    <w:rsid w:val="00390909"/>
    <w:rsid w:val="00394168"/>
    <w:rsid w:val="00395301"/>
    <w:rsid w:val="003A2D1A"/>
    <w:rsid w:val="003A4AA5"/>
    <w:rsid w:val="003A6EC7"/>
    <w:rsid w:val="003B0082"/>
    <w:rsid w:val="003B0CA1"/>
    <w:rsid w:val="003B2F0B"/>
    <w:rsid w:val="003B481F"/>
    <w:rsid w:val="003B6135"/>
    <w:rsid w:val="003C05E0"/>
    <w:rsid w:val="003C193F"/>
    <w:rsid w:val="003C4A03"/>
    <w:rsid w:val="003C716A"/>
    <w:rsid w:val="003D316D"/>
    <w:rsid w:val="003D35A8"/>
    <w:rsid w:val="003D6605"/>
    <w:rsid w:val="003E1B14"/>
    <w:rsid w:val="003E589B"/>
    <w:rsid w:val="003F271E"/>
    <w:rsid w:val="003F44FC"/>
    <w:rsid w:val="0040005D"/>
    <w:rsid w:val="00402CEF"/>
    <w:rsid w:val="004030E9"/>
    <w:rsid w:val="00405F82"/>
    <w:rsid w:val="0041323A"/>
    <w:rsid w:val="0041354F"/>
    <w:rsid w:val="0041442E"/>
    <w:rsid w:val="00415CFA"/>
    <w:rsid w:val="004169F2"/>
    <w:rsid w:val="00417607"/>
    <w:rsid w:val="00422DAA"/>
    <w:rsid w:val="00424901"/>
    <w:rsid w:val="00424A92"/>
    <w:rsid w:val="00431970"/>
    <w:rsid w:val="00433826"/>
    <w:rsid w:val="00445E46"/>
    <w:rsid w:val="00453635"/>
    <w:rsid w:val="004567EB"/>
    <w:rsid w:val="00457D35"/>
    <w:rsid w:val="0046074D"/>
    <w:rsid w:val="004614A5"/>
    <w:rsid w:val="00462D2B"/>
    <w:rsid w:val="00467CA4"/>
    <w:rsid w:val="004708EA"/>
    <w:rsid w:val="00481579"/>
    <w:rsid w:val="0048172D"/>
    <w:rsid w:val="00485A2D"/>
    <w:rsid w:val="00486D2B"/>
    <w:rsid w:val="00491E5D"/>
    <w:rsid w:val="00494868"/>
    <w:rsid w:val="004971EA"/>
    <w:rsid w:val="004A3710"/>
    <w:rsid w:val="004A637C"/>
    <w:rsid w:val="004A641C"/>
    <w:rsid w:val="004A6D89"/>
    <w:rsid w:val="004B1628"/>
    <w:rsid w:val="004C3EF2"/>
    <w:rsid w:val="004C44D8"/>
    <w:rsid w:val="004C5089"/>
    <w:rsid w:val="004C535D"/>
    <w:rsid w:val="004C576D"/>
    <w:rsid w:val="004C6C25"/>
    <w:rsid w:val="004C6F07"/>
    <w:rsid w:val="004D2173"/>
    <w:rsid w:val="004D3661"/>
    <w:rsid w:val="004D507A"/>
    <w:rsid w:val="004D6878"/>
    <w:rsid w:val="004E1678"/>
    <w:rsid w:val="004E370D"/>
    <w:rsid w:val="004E6CB5"/>
    <w:rsid w:val="004E6CF7"/>
    <w:rsid w:val="004E7A2A"/>
    <w:rsid w:val="004F24D7"/>
    <w:rsid w:val="00510CDA"/>
    <w:rsid w:val="00512A41"/>
    <w:rsid w:val="00512AA6"/>
    <w:rsid w:val="00512B2B"/>
    <w:rsid w:val="00513347"/>
    <w:rsid w:val="00513412"/>
    <w:rsid w:val="005158C0"/>
    <w:rsid w:val="00515F3B"/>
    <w:rsid w:val="005162C2"/>
    <w:rsid w:val="00516515"/>
    <w:rsid w:val="005222AC"/>
    <w:rsid w:val="00523576"/>
    <w:rsid w:val="00526540"/>
    <w:rsid w:val="00526579"/>
    <w:rsid w:val="005330CB"/>
    <w:rsid w:val="00533A45"/>
    <w:rsid w:val="00533D89"/>
    <w:rsid w:val="00533F29"/>
    <w:rsid w:val="00541B1D"/>
    <w:rsid w:val="00542076"/>
    <w:rsid w:val="0054208E"/>
    <w:rsid w:val="00542E7B"/>
    <w:rsid w:val="0054326E"/>
    <w:rsid w:val="005508A7"/>
    <w:rsid w:val="005544FD"/>
    <w:rsid w:val="00554F93"/>
    <w:rsid w:val="005563CC"/>
    <w:rsid w:val="00560A97"/>
    <w:rsid w:val="00561573"/>
    <w:rsid w:val="00565460"/>
    <w:rsid w:val="00573A40"/>
    <w:rsid w:val="005811A1"/>
    <w:rsid w:val="0058633B"/>
    <w:rsid w:val="005914E9"/>
    <w:rsid w:val="00595D4B"/>
    <w:rsid w:val="005A242B"/>
    <w:rsid w:val="005A24D8"/>
    <w:rsid w:val="005A353C"/>
    <w:rsid w:val="005A366D"/>
    <w:rsid w:val="005A5324"/>
    <w:rsid w:val="005A5D66"/>
    <w:rsid w:val="005A76B6"/>
    <w:rsid w:val="005B71E0"/>
    <w:rsid w:val="005B7640"/>
    <w:rsid w:val="005C17FF"/>
    <w:rsid w:val="005C1D7F"/>
    <w:rsid w:val="005C222D"/>
    <w:rsid w:val="005C4DDA"/>
    <w:rsid w:val="005C75B0"/>
    <w:rsid w:val="005D3A4B"/>
    <w:rsid w:val="005D4F50"/>
    <w:rsid w:val="005D6DFE"/>
    <w:rsid w:val="005D7F1F"/>
    <w:rsid w:val="005E0078"/>
    <w:rsid w:val="005E1E6F"/>
    <w:rsid w:val="005E4521"/>
    <w:rsid w:val="005E5187"/>
    <w:rsid w:val="005F00A1"/>
    <w:rsid w:val="005F2BC1"/>
    <w:rsid w:val="005F43DF"/>
    <w:rsid w:val="0060139A"/>
    <w:rsid w:val="0060582F"/>
    <w:rsid w:val="00605B55"/>
    <w:rsid w:val="0061185D"/>
    <w:rsid w:val="0061409F"/>
    <w:rsid w:val="00621694"/>
    <w:rsid w:val="00631131"/>
    <w:rsid w:val="00631B36"/>
    <w:rsid w:val="006330BF"/>
    <w:rsid w:val="00645555"/>
    <w:rsid w:val="0064705A"/>
    <w:rsid w:val="00647852"/>
    <w:rsid w:val="00647991"/>
    <w:rsid w:val="00651848"/>
    <w:rsid w:val="006540C9"/>
    <w:rsid w:val="006546FC"/>
    <w:rsid w:val="0065724C"/>
    <w:rsid w:val="0066256A"/>
    <w:rsid w:val="00663574"/>
    <w:rsid w:val="0067278E"/>
    <w:rsid w:val="00677ADE"/>
    <w:rsid w:val="0068047B"/>
    <w:rsid w:val="00680746"/>
    <w:rsid w:val="0068542A"/>
    <w:rsid w:val="00686694"/>
    <w:rsid w:val="0069098B"/>
    <w:rsid w:val="00692929"/>
    <w:rsid w:val="00696FD8"/>
    <w:rsid w:val="006B44A3"/>
    <w:rsid w:val="006C253F"/>
    <w:rsid w:val="006C4F9E"/>
    <w:rsid w:val="006D1F15"/>
    <w:rsid w:val="006D41C3"/>
    <w:rsid w:val="006D5D1C"/>
    <w:rsid w:val="006E1472"/>
    <w:rsid w:val="006E4500"/>
    <w:rsid w:val="006F102D"/>
    <w:rsid w:val="006F448C"/>
    <w:rsid w:val="006F6533"/>
    <w:rsid w:val="00700638"/>
    <w:rsid w:val="00701594"/>
    <w:rsid w:val="007017E4"/>
    <w:rsid w:val="00705402"/>
    <w:rsid w:val="007063F1"/>
    <w:rsid w:val="007156AC"/>
    <w:rsid w:val="00715CF5"/>
    <w:rsid w:val="00720CF1"/>
    <w:rsid w:val="00727A42"/>
    <w:rsid w:val="00735B77"/>
    <w:rsid w:val="007371C9"/>
    <w:rsid w:val="007376AB"/>
    <w:rsid w:val="0074136D"/>
    <w:rsid w:val="00747DC6"/>
    <w:rsid w:val="00750023"/>
    <w:rsid w:val="00754B24"/>
    <w:rsid w:val="0075645F"/>
    <w:rsid w:val="007708A6"/>
    <w:rsid w:val="0077182F"/>
    <w:rsid w:val="007727A5"/>
    <w:rsid w:val="007727B7"/>
    <w:rsid w:val="00775240"/>
    <w:rsid w:val="00777FCA"/>
    <w:rsid w:val="00782108"/>
    <w:rsid w:val="00784AA9"/>
    <w:rsid w:val="007854D5"/>
    <w:rsid w:val="00786D3C"/>
    <w:rsid w:val="00794959"/>
    <w:rsid w:val="007A059D"/>
    <w:rsid w:val="007A1F46"/>
    <w:rsid w:val="007B0C3A"/>
    <w:rsid w:val="007B10EB"/>
    <w:rsid w:val="007B4EAB"/>
    <w:rsid w:val="007B5089"/>
    <w:rsid w:val="007B7E24"/>
    <w:rsid w:val="007C0C94"/>
    <w:rsid w:val="007C1569"/>
    <w:rsid w:val="007C24CE"/>
    <w:rsid w:val="007C6E50"/>
    <w:rsid w:val="007D1055"/>
    <w:rsid w:val="007D4132"/>
    <w:rsid w:val="007D423D"/>
    <w:rsid w:val="007D47FF"/>
    <w:rsid w:val="007D5938"/>
    <w:rsid w:val="007D63CA"/>
    <w:rsid w:val="007E4DF6"/>
    <w:rsid w:val="007E5A20"/>
    <w:rsid w:val="007E5A25"/>
    <w:rsid w:val="007F3264"/>
    <w:rsid w:val="007F3540"/>
    <w:rsid w:val="007F4EDF"/>
    <w:rsid w:val="00801435"/>
    <w:rsid w:val="00815BC5"/>
    <w:rsid w:val="0082047E"/>
    <w:rsid w:val="008222BB"/>
    <w:rsid w:val="00827CD4"/>
    <w:rsid w:val="0083151A"/>
    <w:rsid w:val="00832367"/>
    <w:rsid w:val="0083337C"/>
    <w:rsid w:val="00837030"/>
    <w:rsid w:val="00851898"/>
    <w:rsid w:val="00857C52"/>
    <w:rsid w:val="008665AC"/>
    <w:rsid w:val="0086721E"/>
    <w:rsid w:val="00872F93"/>
    <w:rsid w:val="008758AE"/>
    <w:rsid w:val="008812D0"/>
    <w:rsid w:val="00881FF2"/>
    <w:rsid w:val="00882882"/>
    <w:rsid w:val="0088591D"/>
    <w:rsid w:val="00886005"/>
    <w:rsid w:val="00886741"/>
    <w:rsid w:val="008963F0"/>
    <w:rsid w:val="00896DCD"/>
    <w:rsid w:val="008971B2"/>
    <w:rsid w:val="008A0873"/>
    <w:rsid w:val="008A1C7C"/>
    <w:rsid w:val="008A3E3A"/>
    <w:rsid w:val="008A574F"/>
    <w:rsid w:val="008A6289"/>
    <w:rsid w:val="008A63D4"/>
    <w:rsid w:val="008A6FC3"/>
    <w:rsid w:val="008B2E15"/>
    <w:rsid w:val="008C1D7B"/>
    <w:rsid w:val="008C3A25"/>
    <w:rsid w:val="008C491B"/>
    <w:rsid w:val="008C5B34"/>
    <w:rsid w:val="008C77D5"/>
    <w:rsid w:val="008D08C3"/>
    <w:rsid w:val="008D28BF"/>
    <w:rsid w:val="008D30C9"/>
    <w:rsid w:val="008D4088"/>
    <w:rsid w:val="008D4AE8"/>
    <w:rsid w:val="008D4F4F"/>
    <w:rsid w:val="008D5C61"/>
    <w:rsid w:val="008E2DF9"/>
    <w:rsid w:val="008E59D0"/>
    <w:rsid w:val="008E612D"/>
    <w:rsid w:val="009010C9"/>
    <w:rsid w:val="009028EC"/>
    <w:rsid w:val="00921657"/>
    <w:rsid w:val="00922447"/>
    <w:rsid w:val="00922C14"/>
    <w:rsid w:val="0093325F"/>
    <w:rsid w:val="0093326F"/>
    <w:rsid w:val="00933DEC"/>
    <w:rsid w:val="00934F7F"/>
    <w:rsid w:val="009360AB"/>
    <w:rsid w:val="009361C6"/>
    <w:rsid w:val="00953A3E"/>
    <w:rsid w:val="00956DE7"/>
    <w:rsid w:val="00957BE1"/>
    <w:rsid w:val="00957EEA"/>
    <w:rsid w:val="00961EAA"/>
    <w:rsid w:val="00964EF4"/>
    <w:rsid w:val="00967B61"/>
    <w:rsid w:val="009725A8"/>
    <w:rsid w:val="00977C52"/>
    <w:rsid w:val="00982BAA"/>
    <w:rsid w:val="009847A3"/>
    <w:rsid w:val="00986626"/>
    <w:rsid w:val="00990407"/>
    <w:rsid w:val="00990B6C"/>
    <w:rsid w:val="00991A53"/>
    <w:rsid w:val="00991B2B"/>
    <w:rsid w:val="00991D9E"/>
    <w:rsid w:val="009A2673"/>
    <w:rsid w:val="009A3BBF"/>
    <w:rsid w:val="009A51FE"/>
    <w:rsid w:val="009A7D33"/>
    <w:rsid w:val="009B1D2D"/>
    <w:rsid w:val="009B21CA"/>
    <w:rsid w:val="009B3058"/>
    <w:rsid w:val="009B3FD6"/>
    <w:rsid w:val="009C389D"/>
    <w:rsid w:val="009C4A5F"/>
    <w:rsid w:val="009D1188"/>
    <w:rsid w:val="009D1652"/>
    <w:rsid w:val="009D23E1"/>
    <w:rsid w:val="009D639E"/>
    <w:rsid w:val="009D72D2"/>
    <w:rsid w:val="009D7988"/>
    <w:rsid w:val="009E0183"/>
    <w:rsid w:val="009E2C21"/>
    <w:rsid w:val="009E7139"/>
    <w:rsid w:val="009F5E42"/>
    <w:rsid w:val="009F6662"/>
    <w:rsid w:val="00A009ED"/>
    <w:rsid w:val="00A00E2D"/>
    <w:rsid w:val="00A04AB9"/>
    <w:rsid w:val="00A054B6"/>
    <w:rsid w:val="00A06A2E"/>
    <w:rsid w:val="00A118AC"/>
    <w:rsid w:val="00A159E4"/>
    <w:rsid w:val="00A179CF"/>
    <w:rsid w:val="00A23119"/>
    <w:rsid w:val="00A2438E"/>
    <w:rsid w:val="00A2648E"/>
    <w:rsid w:val="00A26B15"/>
    <w:rsid w:val="00A2792D"/>
    <w:rsid w:val="00A27A11"/>
    <w:rsid w:val="00A312A9"/>
    <w:rsid w:val="00A324D9"/>
    <w:rsid w:val="00A34713"/>
    <w:rsid w:val="00A40A89"/>
    <w:rsid w:val="00A41D3A"/>
    <w:rsid w:val="00A42232"/>
    <w:rsid w:val="00A443FC"/>
    <w:rsid w:val="00A454CC"/>
    <w:rsid w:val="00A51AF1"/>
    <w:rsid w:val="00A612A4"/>
    <w:rsid w:val="00A65EC2"/>
    <w:rsid w:val="00A67F33"/>
    <w:rsid w:val="00A73152"/>
    <w:rsid w:val="00A762EC"/>
    <w:rsid w:val="00A82B71"/>
    <w:rsid w:val="00A85410"/>
    <w:rsid w:val="00A929B7"/>
    <w:rsid w:val="00A94995"/>
    <w:rsid w:val="00AA261B"/>
    <w:rsid w:val="00AA3B9A"/>
    <w:rsid w:val="00AA46DE"/>
    <w:rsid w:val="00AB2F86"/>
    <w:rsid w:val="00AB4D61"/>
    <w:rsid w:val="00AB5C4A"/>
    <w:rsid w:val="00AC0003"/>
    <w:rsid w:val="00AC5068"/>
    <w:rsid w:val="00AC59AC"/>
    <w:rsid w:val="00AC7CB1"/>
    <w:rsid w:val="00AD39FE"/>
    <w:rsid w:val="00AD499E"/>
    <w:rsid w:val="00AD5067"/>
    <w:rsid w:val="00AE7A41"/>
    <w:rsid w:val="00AF0686"/>
    <w:rsid w:val="00AF06C8"/>
    <w:rsid w:val="00AF1821"/>
    <w:rsid w:val="00AF6240"/>
    <w:rsid w:val="00AF7091"/>
    <w:rsid w:val="00B00D09"/>
    <w:rsid w:val="00B01E3E"/>
    <w:rsid w:val="00B02BB3"/>
    <w:rsid w:val="00B104F4"/>
    <w:rsid w:val="00B17763"/>
    <w:rsid w:val="00B200D4"/>
    <w:rsid w:val="00B20486"/>
    <w:rsid w:val="00B21378"/>
    <w:rsid w:val="00B222D9"/>
    <w:rsid w:val="00B225F7"/>
    <w:rsid w:val="00B22F3A"/>
    <w:rsid w:val="00B26C29"/>
    <w:rsid w:val="00B3166D"/>
    <w:rsid w:val="00B31A99"/>
    <w:rsid w:val="00B33208"/>
    <w:rsid w:val="00B374A6"/>
    <w:rsid w:val="00B40333"/>
    <w:rsid w:val="00B429C2"/>
    <w:rsid w:val="00B42BFE"/>
    <w:rsid w:val="00B43608"/>
    <w:rsid w:val="00B51650"/>
    <w:rsid w:val="00B53811"/>
    <w:rsid w:val="00B63C9C"/>
    <w:rsid w:val="00B70A25"/>
    <w:rsid w:val="00B732F1"/>
    <w:rsid w:val="00B744C5"/>
    <w:rsid w:val="00B762A3"/>
    <w:rsid w:val="00B80A08"/>
    <w:rsid w:val="00B8558F"/>
    <w:rsid w:val="00B856C2"/>
    <w:rsid w:val="00B86013"/>
    <w:rsid w:val="00B901A2"/>
    <w:rsid w:val="00B938BE"/>
    <w:rsid w:val="00B93C74"/>
    <w:rsid w:val="00BA1350"/>
    <w:rsid w:val="00BA2751"/>
    <w:rsid w:val="00BA2960"/>
    <w:rsid w:val="00BA7C5F"/>
    <w:rsid w:val="00BB0529"/>
    <w:rsid w:val="00BB18EB"/>
    <w:rsid w:val="00BB1938"/>
    <w:rsid w:val="00BB231B"/>
    <w:rsid w:val="00BB238A"/>
    <w:rsid w:val="00BB2509"/>
    <w:rsid w:val="00BB5931"/>
    <w:rsid w:val="00BB7B0E"/>
    <w:rsid w:val="00BC2728"/>
    <w:rsid w:val="00BC2B72"/>
    <w:rsid w:val="00BD1ACF"/>
    <w:rsid w:val="00BE506B"/>
    <w:rsid w:val="00BE52BD"/>
    <w:rsid w:val="00BE74CE"/>
    <w:rsid w:val="00BF54F9"/>
    <w:rsid w:val="00C07EC3"/>
    <w:rsid w:val="00C12E82"/>
    <w:rsid w:val="00C14882"/>
    <w:rsid w:val="00C1734F"/>
    <w:rsid w:val="00C20763"/>
    <w:rsid w:val="00C207C1"/>
    <w:rsid w:val="00C23EB9"/>
    <w:rsid w:val="00C23ECC"/>
    <w:rsid w:val="00C2553C"/>
    <w:rsid w:val="00C33E8F"/>
    <w:rsid w:val="00C406BD"/>
    <w:rsid w:val="00C41157"/>
    <w:rsid w:val="00C4141B"/>
    <w:rsid w:val="00C41A0E"/>
    <w:rsid w:val="00C4275B"/>
    <w:rsid w:val="00C42AEA"/>
    <w:rsid w:val="00C4606F"/>
    <w:rsid w:val="00C54005"/>
    <w:rsid w:val="00C60854"/>
    <w:rsid w:val="00C62B9A"/>
    <w:rsid w:val="00C64310"/>
    <w:rsid w:val="00C70E95"/>
    <w:rsid w:val="00C7272E"/>
    <w:rsid w:val="00C74DD2"/>
    <w:rsid w:val="00C762F2"/>
    <w:rsid w:val="00C77CCA"/>
    <w:rsid w:val="00C8094E"/>
    <w:rsid w:val="00C80BC9"/>
    <w:rsid w:val="00C81768"/>
    <w:rsid w:val="00C82DDA"/>
    <w:rsid w:val="00C83D8C"/>
    <w:rsid w:val="00C94F9B"/>
    <w:rsid w:val="00CA194F"/>
    <w:rsid w:val="00CA5726"/>
    <w:rsid w:val="00CB07D0"/>
    <w:rsid w:val="00CB14D9"/>
    <w:rsid w:val="00CB1A9B"/>
    <w:rsid w:val="00CB2582"/>
    <w:rsid w:val="00CC1418"/>
    <w:rsid w:val="00CC5DF8"/>
    <w:rsid w:val="00CC7E4A"/>
    <w:rsid w:val="00CD0FC2"/>
    <w:rsid w:val="00CD3FFA"/>
    <w:rsid w:val="00CD45F5"/>
    <w:rsid w:val="00CD6880"/>
    <w:rsid w:val="00CE0A98"/>
    <w:rsid w:val="00CE2AFD"/>
    <w:rsid w:val="00CF5EF1"/>
    <w:rsid w:val="00CF658C"/>
    <w:rsid w:val="00CF6A18"/>
    <w:rsid w:val="00D003B9"/>
    <w:rsid w:val="00D03265"/>
    <w:rsid w:val="00D05F54"/>
    <w:rsid w:val="00D1135F"/>
    <w:rsid w:val="00D12EED"/>
    <w:rsid w:val="00D13211"/>
    <w:rsid w:val="00D20C4B"/>
    <w:rsid w:val="00D30B69"/>
    <w:rsid w:val="00D312A4"/>
    <w:rsid w:val="00D36CBC"/>
    <w:rsid w:val="00D37A6E"/>
    <w:rsid w:val="00D421E5"/>
    <w:rsid w:val="00D42499"/>
    <w:rsid w:val="00D43458"/>
    <w:rsid w:val="00D46ABA"/>
    <w:rsid w:val="00D50BFC"/>
    <w:rsid w:val="00D52FB0"/>
    <w:rsid w:val="00D55425"/>
    <w:rsid w:val="00D56183"/>
    <w:rsid w:val="00D634A6"/>
    <w:rsid w:val="00D64EC0"/>
    <w:rsid w:val="00D6670F"/>
    <w:rsid w:val="00D729A4"/>
    <w:rsid w:val="00D7571D"/>
    <w:rsid w:val="00D76E35"/>
    <w:rsid w:val="00D7748B"/>
    <w:rsid w:val="00D84057"/>
    <w:rsid w:val="00D86026"/>
    <w:rsid w:val="00D906EC"/>
    <w:rsid w:val="00D907C5"/>
    <w:rsid w:val="00D91368"/>
    <w:rsid w:val="00D9144F"/>
    <w:rsid w:val="00D9523D"/>
    <w:rsid w:val="00DA5DC8"/>
    <w:rsid w:val="00DB3CC6"/>
    <w:rsid w:val="00DC1B34"/>
    <w:rsid w:val="00DC1DDC"/>
    <w:rsid w:val="00DC26F3"/>
    <w:rsid w:val="00DC3771"/>
    <w:rsid w:val="00DC483A"/>
    <w:rsid w:val="00DD6C44"/>
    <w:rsid w:val="00DE4C36"/>
    <w:rsid w:val="00DE7840"/>
    <w:rsid w:val="00DF221E"/>
    <w:rsid w:val="00E065AD"/>
    <w:rsid w:val="00E075B4"/>
    <w:rsid w:val="00E14BD8"/>
    <w:rsid w:val="00E24D89"/>
    <w:rsid w:val="00E32BD4"/>
    <w:rsid w:val="00E3322C"/>
    <w:rsid w:val="00E33B99"/>
    <w:rsid w:val="00E36FDD"/>
    <w:rsid w:val="00E373DE"/>
    <w:rsid w:val="00E3746D"/>
    <w:rsid w:val="00E433B6"/>
    <w:rsid w:val="00E46F05"/>
    <w:rsid w:val="00E567CB"/>
    <w:rsid w:val="00E57629"/>
    <w:rsid w:val="00E63C2B"/>
    <w:rsid w:val="00E71C92"/>
    <w:rsid w:val="00E77E8B"/>
    <w:rsid w:val="00E809DE"/>
    <w:rsid w:val="00E82C6A"/>
    <w:rsid w:val="00E84CB2"/>
    <w:rsid w:val="00E85AE5"/>
    <w:rsid w:val="00E92043"/>
    <w:rsid w:val="00E93F9A"/>
    <w:rsid w:val="00EA4485"/>
    <w:rsid w:val="00EA4BED"/>
    <w:rsid w:val="00EA63B6"/>
    <w:rsid w:val="00EB7E75"/>
    <w:rsid w:val="00EC0081"/>
    <w:rsid w:val="00EC059A"/>
    <w:rsid w:val="00EC38D3"/>
    <w:rsid w:val="00EC5700"/>
    <w:rsid w:val="00EC5F10"/>
    <w:rsid w:val="00EC6EE9"/>
    <w:rsid w:val="00ED0ADB"/>
    <w:rsid w:val="00ED1D2E"/>
    <w:rsid w:val="00ED479E"/>
    <w:rsid w:val="00ED4856"/>
    <w:rsid w:val="00ED503E"/>
    <w:rsid w:val="00EE6C10"/>
    <w:rsid w:val="00EE7979"/>
    <w:rsid w:val="00EF34D6"/>
    <w:rsid w:val="00EF76CD"/>
    <w:rsid w:val="00F0035E"/>
    <w:rsid w:val="00F005E0"/>
    <w:rsid w:val="00F02D0D"/>
    <w:rsid w:val="00F046E8"/>
    <w:rsid w:val="00F04DD5"/>
    <w:rsid w:val="00F04DE7"/>
    <w:rsid w:val="00F11D87"/>
    <w:rsid w:val="00F13043"/>
    <w:rsid w:val="00F13165"/>
    <w:rsid w:val="00F16911"/>
    <w:rsid w:val="00F20A78"/>
    <w:rsid w:val="00F267D2"/>
    <w:rsid w:val="00F27BE8"/>
    <w:rsid w:val="00F31586"/>
    <w:rsid w:val="00F31994"/>
    <w:rsid w:val="00F32575"/>
    <w:rsid w:val="00F37C60"/>
    <w:rsid w:val="00F42DB3"/>
    <w:rsid w:val="00F4416F"/>
    <w:rsid w:val="00F442F0"/>
    <w:rsid w:val="00F461CB"/>
    <w:rsid w:val="00F472EB"/>
    <w:rsid w:val="00F505A7"/>
    <w:rsid w:val="00F5220C"/>
    <w:rsid w:val="00F55248"/>
    <w:rsid w:val="00F62644"/>
    <w:rsid w:val="00F66960"/>
    <w:rsid w:val="00F71C29"/>
    <w:rsid w:val="00F726C2"/>
    <w:rsid w:val="00F76B57"/>
    <w:rsid w:val="00F83621"/>
    <w:rsid w:val="00F85D09"/>
    <w:rsid w:val="00F87C13"/>
    <w:rsid w:val="00F91EB6"/>
    <w:rsid w:val="00F95586"/>
    <w:rsid w:val="00F96BF7"/>
    <w:rsid w:val="00F971AA"/>
    <w:rsid w:val="00FA0B2F"/>
    <w:rsid w:val="00FA4003"/>
    <w:rsid w:val="00FB2DAC"/>
    <w:rsid w:val="00FB60B7"/>
    <w:rsid w:val="00FC078E"/>
    <w:rsid w:val="00FC4353"/>
    <w:rsid w:val="00FC781D"/>
    <w:rsid w:val="00FD13A1"/>
    <w:rsid w:val="00FD1C69"/>
    <w:rsid w:val="00FD2E5A"/>
    <w:rsid w:val="00FE041D"/>
    <w:rsid w:val="00FE1170"/>
    <w:rsid w:val="00FE1F3D"/>
    <w:rsid w:val="00FE2C63"/>
    <w:rsid w:val="00FE5D7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 w:type="paragraph" w:customStyle="1" w:styleId="cn">
    <w:name w:val="cn"/>
    <w:basedOn w:val="Normal"/>
    <w:uiPriority w:val="99"/>
    <w:semiHidden/>
    <w:rsid w:val="008812D0"/>
    <w:pPr>
      <w:spacing w:after="0" w:line="240" w:lineRule="auto"/>
      <w:jc w:val="center"/>
    </w:pPr>
    <w:rPr>
      <w:rFonts w:ascii="Times New Roman" w:eastAsiaTheme="minorEastAsia" w:hAnsi="Times New Roman" w:cs="Times New Roman"/>
      <w:sz w:val="24"/>
      <w:szCs w:val="24"/>
      <w:lang w:eastAsia="zh-CN"/>
    </w:rPr>
  </w:style>
  <w:style w:type="paragraph" w:customStyle="1" w:styleId="Default">
    <w:name w:val="Default"/>
    <w:rsid w:val="008C491B"/>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01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04108840">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435631767">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2ACF-F81D-4D73-8F93-2B33E743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17</Pages>
  <Words>6173</Words>
  <Characters>35191</Characters>
  <Application>Microsoft Office Word</Application>
  <DocSecurity>0</DocSecurity>
  <Lines>293</Lines>
  <Paragraphs>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124</cp:revision>
  <cp:lastPrinted>2024-06-11T06:08:00Z</cp:lastPrinted>
  <dcterms:created xsi:type="dcterms:W3CDTF">2024-03-13T14:35:00Z</dcterms:created>
  <dcterms:modified xsi:type="dcterms:W3CDTF">2026-06-17T06:58:00Z</dcterms:modified>
</cp:coreProperties>
</file>