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08B96" w14:textId="5F4D70BD" w:rsidR="001848C3" w:rsidRPr="00C46FEA" w:rsidRDefault="001848C3" w:rsidP="00FE2742">
      <w:pPr>
        <w:tabs>
          <w:tab w:val="left" w:pos="270"/>
          <w:tab w:val="left" w:pos="3261"/>
          <w:tab w:val="left" w:pos="3828"/>
        </w:tabs>
        <w:spacing w:after="0"/>
        <w:jc w:val="right"/>
        <w:rPr>
          <w:rFonts w:ascii="Times New Roman" w:eastAsia="Times New Roman" w:hAnsi="Times New Roman" w:cs="Times New Roman"/>
          <w:b/>
          <w:bCs/>
          <w:sz w:val="24"/>
          <w:szCs w:val="24"/>
          <w:lang w:val="ro-MD" w:eastAsia="ro-RO"/>
        </w:rPr>
      </w:pPr>
      <w:r w:rsidRPr="00C46FEA">
        <w:rPr>
          <w:rFonts w:ascii="Times New Roman" w:eastAsia="Times New Roman" w:hAnsi="Times New Roman" w:cs="Times New Roman"/>
          <w:b/>
          <w:bCs/>
          <w:sz w:val="24"/>
          <w:szCs w:val="24"/>
          <w:lang w:val="ro-MD" w:eastAsia="ro-RO"/>
        </w:rPr>
        <w:t xml:space="preserve">                                                                                        Consiliului de administrație al ANRE</w:t>
      </w:r>
    </w:p>
    <w:p w14:paraId="04424B73" w14:textId="2E829283" w:rsidR="001848C3" w:rsidRPr="00C46FEA" w:rsidRDefault="001848C3" w:rsidP="00FE2742">
      <w:pPr>
        <w:tabs>
          <w:tab w:val="left" w:pos="270"/>
          <w:tab w:val="left" w:pos="3261"/>
          <w:tab w:val="left" w:pos="3828"/>
        </w:tabs>
        <w:spacing w:after="0"/>
        <w:jc w:val="center"/>
        <w:rPr>
          <w:rFonts w:ascii="Times New Roman" w:eastAsia="Times New Roman" w:hAnsi="Times New Roman" w:cs="Times New Roman"/>
          <w:b/>
          <w:bCs/>
          <w:sz w:val="24"/>
          <w:szCs w:val="24"/>
          <w:lang w:val="ro-MD" w:eastAsia="ro-RO"/>
        </w:rPr>
      </w:pPr>
    </w:p>
    <w:p w14:paraId="40BEB111" w14:textId="77777777" w:rsidR="00B10182" w:rsidRPr="00C46FEA" w:rsidRDefault="00B10182" w:rsidP="00FE2742">
      <w:pPr>
        <w:tabs>
          <w:tab w:val="left" w:pos="3261"/>
          <w:tab w:val="left" w:pos="3828"/>
        </w:tabs>
        <w:spacing w:after="0"/>
        <w:jc w:val="center"/>
        <w:rPr>
          <w:rFonts w:ascii="Times New Roman" w:eastAsia="Times New Roman" w:hAnsi="Times New Roman" w:cs="Times New Roman"/>
          <w:b/>
          <w:bCs/>
          <w:sz w:val="24"/>
          <w:szCs w:val="24"/>
          <w:lang w:val="ro-MD" w:eastAsia="ro-RO"/>
        </w:rPr>
      </w:pPr>
    </w:p>
    <w:p w14:paraId="03094971" w14:textId="7CEA39F7" w:rsidR="0073053D" w:rsidRPr="00C46FEA" w:rsidRDefault="007F60B2" w:rsidP="00FE2742">
      <w:pPr>
        <w:tabs>
          <w:tab w:val="left" w:pos="3261"/>
          <w:tab w:val="left" w:pos="3828"/>
        </w:tabs>
        <w:spacing w:after="0"/>
        <w:jc w:val="center"/>
        <w:rPr>
          <w:rFonts w:ascii="Times New Roman" w:eastAsia="Times New Roman" w:hAnsi="Times New Roman" w:cs="Times New Roman"/>
          <w:b/>
          <w:bCs/>
          <w:sz w:val="24"/>
          <w:szCs w:val="24"/>
          <w:lang w:val="ro-MD" w:eastAsia="ro-RO"/>
        </w:rPr>
      </w:pPr>
      <w:r w:rsidRPr="00C46FEA">
        <w:rPr>
          <w:rFonts w:ascii="Times New Roman" w:eastAsia="Times New Roman" w:hAnsi="Times New Roman" w:cs="Times New Roman"/>
          <w:b/>
          <w:bCs/>
          <w:sz w:val="24"/>
          <w:szCs w:val="24"/>
          <w:lang w:val="ro-MD" w:eastAsia="ro-RO"/>
        </w:rPr>
        <w:t xml:space="preserve">Notă </w:t>
      </w:r>
      <w:r w:rsidR="00530327" w:rsidRPr="00C46FEA">
        <w:rPr>
          <w:rFonts w:ascii="Times New Roman" w:eastAsia="Times New Roman" w:hAnsi="Times New Roman" w:cs="Times New Roman"/>
          <w:b/>
          <w:bCs/>
          <w:sz w:val="24"/>
          <w:szCs w:val="24"/>
          <w:lang w:val="ro-MD" w:eastAsia="ro-RO"/>
        </w:rPr>
        <w:t xml:space="preserve">de </w:t>
      </w:r>
      <w:r w:rsidR="00A70653" w:rsidRPr="00C46FEA">
        <w:rPr>
          <w:rFonts w:ascii="Times New Roman" w:eastAsia="Times New Roman" w:hAnsi="Times New Roman" w:cs="Times New Roman"/>
          <w:b/>
          <w:bCs/>
          <w:sz w:val="24"/>
          <w:szCs w:val="24"/>
          <w:lang w:val="ro-MD" w:eastAsia="ro-RO"/>
        </w:rPr>
        <w:t>fundamentare</w:t>
      </w:r>
    </w:p>
    <w:p w14:paraId="254AC72F" w14:textId="7D470EB5" w:rsidR="00B34AD7" w:rsidRPr="00C46FEA" w:rsidRDefault="00503837" w:rsidP="00FE2742">
      <w:pPr>
        <w:pStyle w:val="Normal0"/>
        <w:spacing w:line="276" w:lineRule="auto"/>
        <w:jc w:val="center"/>
        <w:rPr>
          <w:rFonts w:ascii="Times New Roman" w:hAnsi="Times New Roman" w:cs="Times New Roman"/>
          <w:b/>
          <w:bCs/>
          <w:lang w:val="ro-MD"/>
        </w:rPr>
      </w:pPr>
      <w:r w:rsidRPr="00C46FEA">
        <w:rPr>
          <w:rFonts w:ascii="Times New Roman" w:hAnsi="Times New Roman" w:cs="Times New Roman"/>
          <w:b/>
          <w:bCs/>
          <w:lang w:val="ro-MD"/>
        </w:rPr>
        <w:t>la proiectul Hotărârii</w:t>
      </w:r>
      <w:r w:rsidR="00787452" w:rsidRPr="00C46FEA">
        <w:rPr>
          <w:rFonts w:ascii="Times New Roman" w:hAnsi="Times New Roman" w:cs="Times New Roman"/>
          <w:b/>
          <w:bCs/>
          <w:lang w:val="ro-MD"/>
        </w:rPr>
        <w:t xml:space="preserve"> Consiliului de administrație al ANRE</w:t>
      </w:r>
      <w:r w:rsidRPr="00C46FEA">
        <w:rPr>
          <w:rFonts w:ascii="Times New Roman" w:hAnsi="Times New Roman" w:cs="Times New Roman"/>
          <w:b/>
          <w:bCs/>
          <w:lang w:val="ro-MD"/>
        </w:rPr>
        <w:t xml:space="preserve"> </w:t>
      </w:r>
      <w:r w:rsidR="0064133E" w:rsidRPr="00C46FEA">
        <w:rPr>
          <w:rFonts w:ascii="Times New Roman" w:hAnsi="Times New Roman" w:cs="Times New Roman"/>
          <w:b/>
          <w:bCs/>
          <w:lang w:val="ro-MD"/>
        </w:rPr>
        <w:t xml:space="preserve">cu privire la stabilirea </w:t>
      </w:r>
      <w:r w:rsidR="00DE04BA">
        <w:rPr>
          <w:rFonts w:ascii="Times New Roman" w:hAnsi="Times New Roman" w:cs="Times New Roman"/>
          <w:b/>
          <w:bCs/>
          <w:lang w:val="ro-MD"/>
        </w:rPr>
        <w:t>mecanismului de normalizare a</w:t>
      </w:r>
      <w:r w:rsidR="0064133E" w:rsidRPr="00C46FEA">
        <w:rPr>
          <w:rFonts w:ascii="Times New Roman" w:hAnsi="Times New Roman" w:cs="Times New Roman"/>
          <w:b/>
          <w:bCs/>
          <w:lang w:val="ro-MD"/>
        </w:rPr>
        <w:t xml:space="preserve"> preț</w:t>
      </w:r>
      <w:r w:rsidR="00586103">
        <w:rPr>
          <w:rFonts w:ascii="Times New Roman" w:hAnsi="Times New Roman" w:cs="Times New Roman"/>
          <w:b/>
          <w:bCs/>
          <w:lang w:val="ro-MD"/>
        </w:rPr>
        <w:t>urilor</w:t>
      </w:r>
      <w:r w:rsidR="0064133E" w:rsidRPr="00C46FEA">
        <w:rPr>
          <w:rFonts w:ascii="Times New Roman" w:hAnsi="Times New Roman" w:cs="Times New Roman"/>
          <w:b/>
          <w:bCs/>
          <w:lang w:val="ro-MD"/>
        </w:rPr>
        <w:t xml:space="preserve"> pe piața de echilibrare și pentru decontarea dezechilibrelor</w:t>
      </w:r>
      <w:bookmarkStart w:id="0" w:name="_GoBack"/>
      <w:bookmarkEnd w:id="0"/>
    </w:p>
    <w:p w14:paraId="1E00A79F" w14:textId="7524F152" w:rsidR="008F7EF0" w:rsidRPr="00C46FEA" w:rsidRDefault="008F7EF0" w:rsidP="00FE2742">
      <w:pPr>
        <w:pStyle w:val="Normal0"/>
        <w:spacing w:line="276" w:lineRule="auto"/>
        <w:jc w:val="center"/>
        <w:rPr>
          <w:rFonts w:ascii="Times New Roman" w:hAnsi="Times New Roman"/>
          <w:lang w:val="ro-MD"/>
        </w:rPr>
      </w:pPr>
    </w:p>
    <w:p w14:paraId="66467117" w14:textId="77777777" w:rsidR="00B10182" w:rsidRPr="00C46FEA" w:rsidRDefault="00B10182" w:rsidP="00FE2742">
      <w:pPr>
        <w:tabs>
          <w:tab w:val="left" w:pos="3261"/>
          <w:tab w:val="left" w:pos="3828"/>
        </w:tabs>
        <w:spacing w:after="0"/>
        <w:ind w:firstLine="567"/>
        <w:jc w:val="both"/>
        <w:rPr>
          <w:rFonts w:ascii="Times New Roman" w:hAnsi="Times New Roman" w:cs="Times New Roman"/>
          <w:bCs/>
          <w:sz w:val="24"/>
          <w:szCs w:val="24"/>
          <w:lang w:val="ro-MD"/>
        </w:rPr>
      </w:pPr>
    </w:p>
    <w:p w14:paraId="3E42A272" w14:textId="063C5BD5" w:rsidR="00B34AD7" w:rsidRPr="00C46FEA" w:rsidRDefault="00B34AD7" w:rsidP="00FE2742">
      <w:pPr>
        <w:tabs>
          <w:tab w:val="left" w:pos="3261"/>
          <w:tab w:val="left" w:pos="3828"/>
        </w:tabs>
        <w:spacing w:after="0"/>
        <w:ind w:firstLine="567"/>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În conformitate cu art. 39 alineat (1) și (2)  din Legea nr. 164/2025 cu privire la energia electrică la îndeplinirea funcţiilor şi a obligaţiilor care îi revin în conformitate cu legea menționată, operatorul sistemului de transport</w:t>
      </w:r>
      <w:r w:rsidR="00630BCE" w:rsidRPr="00C46FEA">
        <w:rPr>
          <w:rFonts w:ascii="Times New Roman" w:hAnsi="Times New Roman" w:cs="Times New Roman"/>
          <w:bCs/>
          <w:sz w:val="24"/>
          <w:szCs w:val="24"/>
          <w:lang w:val="ro-MD"/>
        </w:rPr>
        <w:t xml:space="preserve"> </w:t>
      </w:r>
      <w:r w:rsidR="00630BCE" w:rsidRPr="00C46FEA">
        <w:rPr>
          <w:rFonts w:ascii="Times New Roman" w:hAnsi="Times New Roman" w:cs="Times New Roman"/>
          <w:bCs/>
          <w:i/>
          <w:sz w:val="24"/>
          <w:szCs w:val="24"/>
          <w:lang w:val="ro-MD"/>
        </w:rPr>
        <w:t>(în continuare – OST)</w:t>
      </w:r>
      <w:r w:rsidRPr="00C46FEA">
        <w:rPr>
          <w:rFonts w:ascii="Times New Roman" w:hAnsi="Times New Roman" w:cs="Times New Roman"/>
          <w:bCs/>
          <w:sz w:val="24"/>
          <w:szCs w:val="24"/>
          <w:lang w:val="ro-MD"/>
        </w:rPr>
        <w:t xml:space="preserve"> trebuie să respecte regulile şi procedurile stabilite în codurile reţelelor electrice şi în liniile directoare, aprobate de Agenţie în conformitate cu cerinţele stabilite în cadrul Comunităţii Energetice. Codurile reţelelor electrice şi liniile directoare se elaborează de către operatorul sistemului de transport în conformitate cu codurile reţelelor electrice şi liniile directoare corespunzătoare </w:t>
      </w:r>
      <w:r w:rsidR="00630BCE" w:rsidRPr="00C46FEA">
        <w:rPr>
          <w:rFonts w:ascii="Times New Roman" w:hAnsi="Times New Roman" w:cs="Times New Roman"/>
          <w:bCs/>
          <w:sz w:val="24"/>
          <w:szCs w:val="24"/>
          <w:lang w:val="ro-MD"/>
        </w:rPr>
        <w:t xml:space="preserve">adaptate și </w:t>
      </w:r>
      <w:r w:rsidRPr="00C46FEA">
        <w:rPr>
          <w:rFonts w:ascii="Times New Roman" w:hAnsi="Times New Roman" w:cs="Times New Roman"/>
          <w:bCs/>
          <w:sz w:val="24"/>
          <w:szCs w:val="24"/>
          <w:lang w:val="ro-MD"/>
        </w:rPr>
        <w:t>adoptate în cadrul Comunităţii Energetice.</w:t>
      </w:r>
    </w:p>
    <w:p w14:paraId="66248CED" w14:textId="70F5715D" w:rsidR="00B34AD7" w:rsidRPr="00C46FEA" w:rsidRDefault="00B10182" w:rsidP="00FE2742">
      <w:pPr>
        <w:tabs>
          <w:tab w:val="left" w:pos="3261"/>
          <w:tab w:val="left" w:pos="3828"/>
        </w:tabs>
        <w:spacing w:after="0"/>
        <w:ind w:firstLine="567"/>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Subsecvent, în corespundere cu alineatul (9) din același articol pentru implementarea codurilor reţelelor electrice şi a liniilor directoare, operatorul sistemului de transport elaborează şi prezintă spre aprobare Agenţiei propuneri de T</w:t>
      </w:r>
      <w:r w:rsidR="00C6145F" w:rsidRPr="00C46FEA">
        <w:rPr>
          <w:rFonts w:ascii="Times New Roman" w:hAnsi="Times New Roman" w:cs="Times New Roman"/>
          <w:bCs/>
          <w:sz w:val="24"/>
          <w:szCs w:val="24"/>
          <w:lang w:val="ro-MD"/>
        </w:rPr>
        <w:t xml:space="preserve">ermeni, Condiții și/sau </w:t>
      </w:r>
      <w:r w:rsidRPr="00C46FEA">
        <w:rPr>
          <w:rFonts w:ascii="Times New Roman" w:hAnsi="Times New Roman" w:cs="Times New Roman"/>
          <w:bCs/>
          <w:sz w:val="24"/>
          <w:szCs w:val="24"/>
          <w:lang w:val="ro-MD"/>
        </w:rPr>
        <w:t>M</w:t>
      </w:r>
      <w:r w:rsidR="00C6145F" w:rsidRPr="00C46FEA">
        <w:rPr>
          <w:rFonts w:ascii="Times New Roman" w:hAnsi="Times New Roman" w:cs="Times New Roman"/>
          <w:bCs/>
          <w:sz w:val="24"/>
          <w:szCs w:val="24"/>
          <w:lang w:val="ro-MD"/>
        </w:rPr>
        <w:t xml:space="preserve">etodologii </w:t>
      </w:r>
      <w:r w:rsidR="00C6145F" w:rsidRPr="00C46FEA">
        <w:rPr>
          <w:rFonts w:ascii="Times New Roman" w:hAnsi="Times New Roman" w:cs="Times New Roman"/>
          <w:bCs/>
          <w:i/>
          <w:sz w:val="24"/>
          <w:szCs w:val="24"/>
          <w:lang w:val="ro-MD"/>
        </w:rPr>
        <w:t>(</w:t>
      </w:r>
      <w:r w:rsidR="00205F37" w:rsidRPr="00C46FEA">
        <w:rPr>
          <w:rFonts w:ascii="Times New Roman" w:hAnsi="Times New Roman" w:cs="Times New Roman"/>
          <w:bCs/>
          <w:i/>
          <w:sz w:val="24"/>
          <w:szCs w:val="24"/>
          <w:lang w:val="ro-MD"/>
        </w:rPr>
        <w:t xml:space="preserve">în continuare – </w:t>
      </w:r>
      <w:r w:rsidR="00C6145F" w:rsidRPr="00C46FEA">
        <w:rPr>
          <w:rFonts w:ascii="Times New Roman" w:hAnsi="Times New Roman" w:cs="Times New Roman"/>
          <w:bCs/>
          <w:i/>
          <w:sz w:val="24"/>
          <w:szCs w:val="24"/>
          <w:lang w:val="ro-MD"/>
        </w:rPr>
        <w:t>TCM-uri)</w:t>
      </w:r>
      <w:r w:rsidRPr="00C46FEA">
        <w:rPr>
          <w:rFonts w:ascii="Times New Roman" w:hAnsi="Times New Roman" w:cs="Times New Roman"/>
          <w:bCs/>
          <w:sz w:val="24"/>
          <w:szCs w:val="24"/>
          <w:lang w:val="ro-MD"/>
        </w:rPr>
        <w:t>. Operatorul sistemului de transport elaborează şi înaintează propuneri de TCM inclusiv în cazul modificării acestora, cu respectarea cerinţelor şi a termenelor stabilite în respectivele coduri ale reţelelor electrice şi linii directoare, inclusiv cu respectarea cerinţelor stabilite în cadrul normativ al Comunităţii Energetice.</w:t>
      </w:r>
    </w:p>
    <w:p w14:paraId="683310B1" w14:textId="061A7B2C" w:rsidR="00DF57A2" w:rsidRPr="00C46FEA" w:rsidRDefault="00DF57A2" w:rsidP="00FE2742">
      <w:pPr>
        <w:tabs>
          <w:tab w:val="left" w:pos="3261"/>
          <w:tab w:val="left" w:pos="3828"/>
        </w:tabs>
        <w:spacing w:after="0"/>
        <w:ind w:firstLine="567"/>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 xml:space="preserve">Codurile de rețea și liniile directoare care fac parte din pachetul de integrare al energiei electrice </w:t>
      </w:r>
      <w:r w:rsidRPr="00C46FEA">
        <w:rPr>
          <w:rFonts w:ascii="Times New Roman" w:hAnsi="Times New Roman" w:cs="Times New Roman"/>
          <w:bCs/>
          <w:i/>
          <w:sz w:val="24"/>
          <w:szCs w:val="24"/>
          <w:lang w:val="ro-MD"/>
        </w:rPr>
        <w:t>(eng. „Electricity integration Package”)</w:t>
      </w:r>
      <w:r w:rsidRPr="00C46FEA">
        <w:rPr>
          <w:rFonts w:ascii="Times New Roman" w:hAnsi="Times New Roman" w:cs="Times New Roman"/>
          <w:bCs/>
          <w:sz w:val="24"/>
          <w:szCs w:val="24"/>
          <w:lang w:val="ro-MD"/>
        </w:rPr>
        <w:t xml:space="preserve"> au fost transpuse în cadrul normativ național al Republicii Moldova prin Hotărârile Consiliului de administrație al ANRE nr. 641 – 645 </w:t>
      </w:r>
      <w:r w:rsidR="009074C3" w:rsidRPr="00C46FEA">
        <w:rPr>
          <w:rFonts w:ascii="Times New Roman" w:hAnsi="Times New Roman" w:cs="Times New Roman"/>
          <w:bCs/>
          <w:sz w:val="24"/>
          <w:szCs w:val="24"/>
          <w:lang w:val="ro-MD"/>
        </w:rPr>
        <w:t xml:space="preserve">din </w:t>
      </w:r>
      <w:r w:rsidRPr="00C46FEA">
        <w:rPr>
          <w:rFonts w:ascii="Times New Roman" w:hAnsi="Times New Roman" w:cs="Times New Roman"/>
          <w:bCs/>
          <w:sz w:val="24"/>
          <w:szCs w:val="24"/>
          <w:lang w:val="ro-MD"/>
        </w:rPr>
        <w:t xml:space="preserve">4 noiembrie 2025, fiind astfel aprobate: </w:t>
      </w:r>
    </w:p>
    <w:p w14:paraId="2C4035B1" w14:textId="30361F00" w:rsidR="00DF57A2" w:rsidRPr="00C46FEA" w:rsidRDefault="00DF57A2" w:rsidP="00FE2742">
      <w:pPr>
        <w:pStyle w:val="ListParagraph"/>
        <w:numPr>
          <w:ilvl w:val="0"/>
          <w:numId w:val="35"/>
        </w:numPr>
        <w:tabs>
          <w:tab w:val="left" w:pos="3261"/>
          <w:tab w:val="left" w:pos="3828"/>
        </w:tabs>
        <w:spacing w:after="0"/>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Liniile directoare privind alocarea capacității și gestionarea congestiilor</w:t>
      </w:r>
      <w:r w:rsidR="00630BCE" w:rsidRPr="00C46FEA">
        <w:rPr>
          <w:rFonts w:ascii="Times New Roman" w:hAnsi="Times New Roman" w:cs="Times New Roman"/>
          <w:bCs/>
          <w:sz w:val="24"/>
          <w:szCs w:val="24"/>
          <w:lang w:val="ro-MD"/>
        </w:rPr>
        <w:t xml:space="preserve"> (HCA al ANRE nr. 641/2025)</w:t>
      </w:r>
      <w:r w:rsidRPr="00C46FEA">
        <w:rPr>
          <w:rFonts w:ascii="Times New Roman" w:hAnsi="Times New Roman" w:cs="Times New Roman"/>
          <w:bCs/>
          <w:sz w:val="24"/>
          <w:szCs w:val="24"/>
          <w:lang w:val="ro-MD"/>
        </w:rPr>
        <w:t>;</w:t>
      </w:r>
    </w:p>
    <w:p w14:paraId="36588D5C" w14:textId="4BD70FF2" w:rsidR="00DF57A2" w:rsidRPr="00C46FEA" w:rsidRDefault="009074C3" w:rsidP="00FE2742">
      <w:pPr>
        <w:pStyle w:val="ListParagraph"/>
        <w:numPr>
          <w:ilvl w:val="0"/>
          <w:numId w:val="35"/>
        </w:numPr>
        <w:tabs>
          <w:tab w:val="left" w:pos="3261"/>
          <w:tab w:val="left" w:pos="3828"/>
        </w:tabs>
        <w:spacing w:after="0"/>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Liniile</w:t>
      </w:r>
      <w:r w:rsidR="00DF57A2" w:rsidRPr="00C46FEA">
        <w:rPr>
          <w:rFonts w:ascii="Times New Roman" w:hAnsi="Times New Roman" w:cs="Times New Roman"/>
          <w:bCs/>
          <w:sz w:val="24"/>
          <w:szCs w:val="24"/>
          <w:lang w:val="ro-MD"/>
        </w:rPr>
        <w:t xml:space="preserve"> directoare privind echilibrarea sistemului electroenergetic</w:t>
      </w:r>
      <w:r w:rsidR="00630BCE" w:rsidRPr="00C46FEA">
        <w:rPr>
          <w:rFonts w:ascii="Times New Roman" w:hAnsi="Times New Roman" w:cs="Times New Roman"/>
          <w:bCs/>
          <w:sz w:val="24"/>
          <w:szCs w:val="24"/>
          <w:lang w:val="ro-MD"/>
        </w:rPr>
        <w:t xml:space="preserve"> (HCA al ANRE nr. 642/2025)</w:t>
      </w:r>
      <w:r w:rsidR="00DF57A2" w:rsidRPr="00C46FEA">
        <w:rPr>
          <w:rFonts w:ascii="Times New Roman" w:hAnsi="Times New Roman" w:cs="Times New Roman"/>
          <w:bCs/>
          <w:sz w:val="24"/>
          <w:szCs w:val="24"/>
          <w:lang w:val="ro-MD"/>
        </w:rPr>
        <w:t>;</w:t>
      </w:r>
    </w:p>
    <w:p w14:paraId="7E33D5E3" w14:textId="72E47487" w:rsidR="00DF57A2" w:rsidRPr="00C46FEA" w:rsidRDefault="009074C3" w:rsidP="00FE2742">
      <w:pPr>
        <w:pStyle w:val="ListParagraph"/>
        <w:numPr>
          <w:ilvl w:val="0"/>
          <w:numId w:val="35"/>
        </w:numPr>
        <w:tabs>
          <w:tab w:val="left" w:pos="3261"/>
          <w:tab w:val="left" w:pos="3828"/>
        </w:tabs>
        <w:spacing w:after="0"/>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Liniile</w:t>
      </w:r>
      <w:r w:rsidR="00DF57A2" w:rsidRPr="00C46FEA">
        <w:rPr>
          <w:rFonts w:ascii="Times New Roman" w:hAnsi="Times New Roman" w:cs="Times New Roman"/>
          <w:bCs/>
          <w:sz w:val="24"/>
          <w:szCs w:val="24"/>
          <w:lang w:val="ro-MD"/>
        </w:rPr>
        <w:t xml:space="preserve"> directoare privind alocarea capacităților pe piața pe termen lung</w:t>
      </w:r>
      <w:r w:rsidR="00630BCE" w:rsidRPr="00C46FEA">
        <w:rPr>
          <w:rFonts w:ascii="Times New Roman" w:hAnsi="Times New Roman" w:cs="Times New Roman"/>
          <w:bCs/>
          <w:sz w:val="24"/>
          <w:szCs w:val="24"/>
          <w:lang w:val="ro-MD"/>
        </w:rPr>
        <w:t xml:space="preserve"> (HCA al ANRE nr. 643/2025)</w:t>
      </w:r>
      <w:r w:rsidR="00DF57A2" w:rsidRPr="00C46FEA">
        <w:rPr>
          <w:rFonts w:ascii="Times New Roman" w:hAnsi="Times New Roman" w:cs="Times New Roman"/>
          <w:bCs/>
          <w:sz w:val="24"/>
          <w:szCs w:val="24"/>
          <w:lang w:val="ro-MD"/>
        </w:rPr>
        <w:t>;</w:t>
      </w:r>
    </w:p>
    <w:p w14:paraId="25A17302" w14:textId="37F99135" w:rsidR="00DF57A2" w:rsidRPr="00C46FEA" w:rsidRDefault="009074C3" w:rsidP="00FE2742">
      <w:pPr>
        <w:pStyle w:val="ListParagraph"/>
        <w:numPr>
          <w:ilvl w:val="0"/>
          <w:numId w:val="35"/>
        </w:numPr>
        <w:tabs>
          <w:tab w:val="left" w:pos="3261"/>
          <w:tab w:val="left" w:pos="3828"/>
        </w:tabs>
        <w:spacing w:after="0"/>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Liniile</w:t>
      </w:r>
      <w:r w:rsidR="00DF57A2" w:rsidRPr="00C46FEA">
        <w:rPr>
          <w:rFonts w:ascii="Times New Roman" w:hAnsi="Times New Roman" w:cs="Times New Roman"/>
          <w:bCs/>
          <w:sz w:val="24"/>
          <w:szCs w:val="24"/>
          <w:lang w:val="ro-MD"/>
        </w:rPr>
        <w:t xml:space="preserve"> directoare privind operarea sistemului de transport</w:t>
      </w:r>
      <w:r w:rsidR="00630BCE" w:rsidRPr="00C46FEA">
        <w:rPr>
          <w:rFonts w:ascii="Times New Roman" w:hAnsi="Times New Roman" w:cs="Times New Roman"/>
          <w:bCs/>
          <w:sz w:val="24"/>
          <w:szCs w:val="24"/>
          <w:lang w:val="ro-MD"/>
        </w:rPr>
        <w:t xml:space="preserve"> (HCA al ANRE nr. 644/2025)</w:t>
      </w:r>
      <w:r w:rsidR="00DF57A2" w:rsidRPr="00C46FEA">
        <w:rPr>
          <w:rFonts w:ascii="Times New Roman" w:hAnsi="Times New Roman" w:cs="Times New Roman"/>
          <w:bCs/>
          <w:sz w:val="24"/>
          <w:szCs w:val="24"/>
          <w:lang w:val="ro-MD"/>
        </w:rPr>
        <w:t>;</w:t>
      </w:r>
    </w:p>
    <w:p w14:paraId="309526B9" w14:textId="77777777" w:rsidR="009074C3" w:rsidRPr="00C46FEA" w:rsidRDefault="009074C3" w:rsidP="00FE2742">
      <w:pPr>
        <w:pStyle w:val="ListParagraph"/>
        <w:numPr>
          <w:ilvl w:val="0"/>
          <w:numId w:val="35"/>
        </w:numPr>
        <w:tabs>
          <w:tab w:val="left" w:pos="3261"/>
          <w:tab w:val="left" w:pos="3828"/>
        </w:tabs>
        <w:spacing w:after="0"/>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Codul rețelelor electrice privind </w:t>
      </w:r>
      <w:r w:rsidR="00DF57A2" w:rsidRPr="00C46FEA">
        <w:rPr>
          <w:rFonts w:ascii="Times New Roman" w:hAnsi="Times New Roman" w:cs="Times New Roman"/>
          <w:bCs/>
          <w:sz w:val="24"/>
          <w:szCs w:val="24"/>
          <w:lang w:val="ro-MD"/>
        </w:rPr>
        <w:t>starea</w:t>
      </w:r>
      <w:r w:rsidRPr="00C46FEA">
        <w:rPr>
          <w:rFonts w:ascii="Times New Roman" w:hAnsi="Times New Roman" w:cs="Times New Roman"/>
          <w:bCs/>
          <w:sz w:val="24"/>
          <w:szCs w:val="24"/>
          <w:lang w:val="ro-MD"/>
        </w:rPr>
        <w:t> de urgență </w:t>
      </w:r>
      <w:r w:rsidR="00DF57A2" w:rsidRPr="00C46FEA">
        <w:rPr>
          <w:rFonts w:ascii="Times New Roman" w:hAnsi="Times New Roman" w:cs="Times New Roman"/>
          <w:bCs/>
          <w:sz w:val="24"/>
          <w:szCs w:val="24"/>
          <w:lang w:val="ro-MD"/>
        </w:rPr>
        <w:t>ș</w:t>
      </w:r>
      <w:r w:rsidRPr="00C46FEA">
        <w:rPr>
          <w:rFonts w:ascii="Times New Roman" w:hAnsi="Times New Roman" w:cs="Times New Roman"/>
          <w:bCs/>
          <w:sz w:val="24"/>
          <w:szCs w:val="24"/>
          <w:lang w:val="ro-MD"/>
        </w:rPr>
        <w:t>i restaurarea sistemului </w:t>
      </w:r>
    </w:p>
    <w:p w14:paraId="3DC5CBD9" w14:textId="33EC3455" w:rsidR="00DF57A2" w:rsidRPr="00C46FEA" w:rsidRDefault="009074C3" w:rsidP="00FE2742">
      <w:pPr>
        <w:pStyle w:val="ListParagraph"/>
        <w:tabs>
          <w:tab w:val="left" w:pos="3261"/>
          <w:tab w:val="left" w:pos="3828"/>
        </w:tabs>
        <w:spacing w:after="0"/>
        <w:ind w:left="1287"/>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electroenergetic</w:t>
      </w:r>
      <w:r w:rsidR="006A1462" w:rsidRPr="00C46FEA">
        <w:rPr>
          <w:rFonts w:ascii="Times New Roman" w:hAnsi="Times New Roman" w:cs="Times New Roman"/>
          <w:bCs/>
          <w:sz w:val="24"/>
          <w:szCs w:val="24"/>
          <w:lang w:val="ro-MD"/>
        </w:rPr>
        <w:t xml:space="preserve"> (HCA al ANRE nr. 645/2025)</w:t>
      </w:r>
      <w:r w:rsidRPr="00C46FEA">
        <w:rPr>
          <w:rFonts w:ascii="Times New Roman" w:hAnsi="Times New Roman" w:cs="Times New Roman"/>
          <w:bCs/>
          <w:sz w:val="24"/>
          <w:szCs w:val="24"/>
          <w:lang w:val="ro-MD"/>
        </w:rPr>
        <w:t>.</w:t>
      </w:r>
    </w:p>
    <w:p w14:paraId="5D47F97F" w14:textId="2C4DF32A" w:rsidR="00A55335" w:rsidRPr="00C46FEA" w:rsidRDefault="00A55335" w:rsidP="00FE2742">
      <w:pPr>
        <w:pStyle w:val="ListParagraph"/>
        <w:tabs>
          <w:tab w:val="left" w:pos="3261"/>
          <w:tab w:val="left" w:pos="3828"/>
        </w:tabs>
        <w:spacing w:after="0"/>
        <w:ind w:left="0" w:firstLine="567"/>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Astfel, în conformitate cu obligațiile prevăzut</w:t>
      </w:r>
      <w:r w:rsidR="00EC6D3C" w:rsidRPr="00C46FEA">
        <w:rPr>
          <w:rFonts w:ascii="Times New Roman" w:hAnsi="Times New Roman" w:cs="Times New Roman"/>
          <w:bCs/>
          <w:sz w:val="24"/>
          <w:szCs w:val="24"/>
          <w:lang w:val="ro-MD"/>
        </w:rPr>
        <w:t>e</w:t>
      </w:r>
      <w:r w:rsidRPr="00C46FEA">
        <w:rPr>
          <w:rFonts w:ascii="Times New Roman" w:hAnsi="Times New Roman" w:cs="Times New Roman"/>
          <w:bCs/>
          <w:sz w:val="24"/>
          <w:szCs w:val="24"/>
          <w:lang w:val="ro-MD"/>
        </w:rPr>
        <w:t xml:space="preserve"> în cadrul Liniilor directoare privind echilibrarea sistemului electroenergetic aprobate prin Hotărârea ANRE nr</w:t>
      </w:r>
      <w:r w:rsidR="00577125">
        <w:rPr>
          <w:rFonts w:ascii="Times New Roman" w:hAnsi="Times New Roman" w:cs="Times New Roman"/>
          <w:bCs/>
          <w:sz w:val="24"/>
          <w:szCs w:val="24"/>
          <w:lang w:val="ro-MD"/>
        </w:rPr>
        <w:t xml:space="preserve">. 642 din 4 noiembrie 2025, OST </w:t>
      </w:r>
      <w:r w:rsidRPr="00C46FEA">
        <w:rPr>
          <w:rFonts w:ascii="Times New Roman" w:hAnsi="Times New Roman" w:cs="Times New Roman"/>
          <w:bCs/>
          <w:sz w:val="24"/>
          <w:szCs w:val="24"/>
          <w:lang w:val="ro-MD"/>
        </w:rPr>
        <w:t>a elaborat și expus consultărilor p</w:t>
      </w:r>
      <w:r w:rsidR="00EC6D3C" w:rsidRPr="00C46FEA">
        <w:rPr>
          <w:rFonts w:ascii="Times New Roman" w:hAnsi="Times New Roman" w:cs="Times New Roman"/>
          <w:bCs/>
          <w:sz w:val="24"/>
          <w:szCs w:val="24"/>
          <w:lang w:val="ro-MD"/>
        </w:rPr>
        <w:t>ublice</w:t>
      </w:r>
      <w:r w:rsidR="00192731" w:rsidRPr="00C46FEA">
        <w:rPr>
          <w:rFonts w:ascii="Times New Roman" w:hAnsi="Times New Roman" w:cs="Times New Roman"/>
          <w:bCs/>
          <w:sz w:val="24"/>
          <w:szCs w:val="24"/>
          <w:lang w:val="ro-MD"/>
        </w:rPr>
        <w:t xml:space="preserve"> la data de 24.11.2025</w:t>
      </w:r>
      <w:r w:rsidR="00EC6D3C" w:rsidRPr="00C46FEA">
        <w:rPr>
          <w:rFonts w:ascii="Times New Roman" w:hAnsi="Times New Roman" w:cs="Times New Roman"/>
          <w:bCs/>
          <w:sz w:val="24"/>
          <w:szCs w:val="24"/>
          <w:lang w:val="ro-MD"/>
        </w:rPr>
        <w:t xml:space="preserve"> următoarele TCM-uri: </w:t>
      </w:r>
    </w:p>
    <w:p w14:paraId="1478E074" w14:textId="2BFD66E8" w:rsidR="00EC6D3C" w:rsidRPr="00C46FEA" w:rsidRDefault="00EC6D3C" w:rsidP="00FE2742">
      <w:pPr>
        <w:pStyle w:val="ListParagraph"/>
        <w:numPr>
          <w:ilvl w:val="0"/>
          <w:numId w:val="36"/>
        </w:numPr>
        <w:tabs>
          <w:tab w:val="left" w:pos="3261"/>
          <w:tab w:val="left" w:pos="3828"/>
        </w:tabs>
        <w:spacing w:after="0"/>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 xml:space="preserve">Regulamentul privind clauzele și condițiile pentru furnizorii de servicii de echilibrare; </w:t>
      </w:r>
    </w:p>
    <w:p w14:paraId="695451E7" w14:textId="6A9A5BF7" w:rsidR="00EC6D3C" w:rsidRPr="00C46FEA" w:rsidRDefault="00EC6D3C" w:rsidP="00FE2742">
      <w:pPr>
        <w:pStyle w:val="ListParagraph"/>
        <w:numPr>
          <w:ilvl w:val="0"/>
          <w:numId w:val="36"/>
        </w:numPr>
        <w:tabs>
          <w:tab w:val="left" w:pos="3261"/>
          <w:tab w:val="left" w:pos="3828"/>
        </w:tabs>
        <w:spacing w:after="0"/>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Regulamentul privind</w:t>
      </w:r>
      <w:r w:rsidR="00205F37" w:rsidRPr="00C46FEA">
        <w:rPr>
          <w:rFonts w:ascii="Times New Roman" w:hAnsi="Times New Roman" w:cs="Times New Roman"/>
          <w:bCs/>
          <w:sz w:val="24"/>
          <w:szCs w:val="24"/>
          <w:lang w:val="ro-MD"/>
        </w:rPr>
        <w:t xml:space="preserve"> clauzele și condițiile pentru părțile responsabile pentru e</w:t>
      </w:r>
      <w:r w:rsidRPr="00C46FEA">
        <w:rPr>
          <w:rFonts w:ascii="Times New Roman" w:hAnsi="Times New Roman" w:cs="Times New Roman"/>
          <w:bCs/>
          <w:sz w:val="24"/>
          <w:szCs w:val="24"/>
          <w:lang w:val="ro-MD"/>
        </w:rPr>
        <w:t>chilibrare.</w:t>
      </w:r>
    </w:p>
    <w:p w14:paraId="18E3A89F" w14:textId="36F88FE1" w:rsidR="00A55335" w:rsidRPr="00C46FEA" w:rsidRDefault="009218AC" w:rsidP="00FE2742">
      <w:pPr>
        <w:pStyle w:val="ListParagraph"/>
        <w:tabs>
          <w:tab w:val="left" w:pos="3261"/>
          <w:tab w:val="left" w:pos="3828"/>
        </w:tabs>
        <w:spacing w:after="0"/>
        <w:ind w:left="0" w:firstLine="567"/>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care au fost</w:t>
      </w:r>
      <w:r w:rsidR="005372B3" w:rsidRPr="00C46FEA">
        <w:rPr>
          <w:rFonts w:ascii="Times New Roman" w:hAnsi="Times New Roman" w:cs="Times New Roman"/>
          <w:bCs/>
          <w:sz w:val="24"/>
          <w:szCs w:val="24"/>
          <w:lang w:val="ro-MD"/>
        </w:rPr>
        <w:t xml:space="preserve"> ulterior</w:t>
      </w:r>
      <w:r w:rsidRPr="00C46FEA">
        <w:rPr>
          <w:rFonts w:ascii="Times New Roman" w:hAnsi="Times New Roman" w:cs="Times New Roman"/>
          <w:bCs/>
          <w:sz w:val="24"/>
          <w:szCs w:val="24"/>
          <w:lang w:val="ro-MD"/>
        </w:rPr>
        <w:t xml:space="preserve"> aprobate</w:t>
      </w:r>
      <w:r w:rsidR="005372B3" w:rsidRPr="00C46FEA">
        <w:rPr>
          <w:rFonts w:ascii="Times New Roman" w:hAnsi="Times New Roman" w:cs="Times New Roman"/>
          <w:bCs/>
          <w:sz w:val="24"/>
          <w:szCs w:val="24"/>
          <w:lang w:val="ro-MD"/>
        </w:rPr>
        <w:t xml:space="preserve"> prin Hotărârea Consiliului de administrație al ANRE nr. 853/2025. </w:t>
      </w:r>
    </w:p>
    <w:p w14:paraId="1B4B21C4" w14:textId="2D419B75" w:rsidR="005372B3" w:rsidRPr="00C46FEA" w:rsidRDefault="005372B3" w:rsidP="00257648">
      <w:pPr>
        <w:spacing w:after="0"/>
        <w:ind w:firstLine="567"/>
        <w:jc w:val="both"/>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Acestea au drept scop implementarea cadrului de funcționare a pieței de echilibrare a energiei electrice din Republica Moldova, în conformitate cu principiile europene aplicabile piețelor de echilibrare.</w:t>
      </w:r>
    </w:p>
    <w:p w14:paraId="3E414331" w14:textId="7BA8CB1A" w:rsidR="005372B3" w:rsidRPr="00C46FEA" w:rsidRDefault="00E746F8" w:rsidP="00FE2742">
      <w:pPr>
        <w:spacing w:after="0"/>
        <w:jc w:val="both"/>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 xml:space="preserve">Mai exact, </w:t>
      </w:r>
      <w:r w:rsidR="005372B3" w:rsidRPr="00C46FEA">
        <w:rPr>
          <w:rFonts w:ascii="Times New Roman" w:eastAsia="Times New Roman" w:hAnsi="Times New Roman" w:cs="Times New Roman"/>
          <w:bCs/>
          <w:sz w:val="24"/>
          <w:szCs w:val="24"/>
          <w:lang w:val="ro-MD"/>
        </w:rPr>
        <w:t xml:space="preserve">Regulamentul privind clauzele și condițiile pentru furnizorii de servicii de echilibrare </w:t>
      </w:r>
      <w:r w:rsidR="005372B3" w:rsidRPr="00C46FEA">
        <w:rPr>
          <w:rFonts w:ascii="Times New Roman" w:eastAsia="Times New Roman" w:hAnsi="Times New Roman" w:cs="Times New Roman"/>
          <w:bCs/>
          <w:i/>
          <w:sz w:val="24"/>
          <w:szCs w:val="24"/>
          <w:lang w:val="ro-MD"/>
        </w:rPr>
        <w:t>(</w:t>
      </w:r>
      <w:r w:rsidR="00EC334A" w:rsidRPr="00C46FEA">
        <w:rPr>
          <w:rFonts w:ascii="Times New Roman" w:eastAsia="Times New Roman" w:hAnsi="Times New Roman" w:cs="Times New Roman"/>
          <w:bCs/>
          <w:i/>
          <w:sz w:val="24"/>
          <w:szCs w:val="24"/>
          <w:lang w:val="ro-MD"/>
        </w:rPr>
        <w:t xml:space="preserve">în continuare – Regulament </w:t>
      </w:r>
      <w:r w:rsidR="005372B3" w:rsidRPr="00C46FEA">
        <w:rPr>
          <w:rFonts w:ascii="Times New Roman" w:eastAsia="Times New Roman" w:hAnsi="Times New Roman" w:cs="Times New Roman"/>
          <w:bCs/>
          <w:i/>
          <w:sz w:val="24"/>
          <w:szCs w:val="24"/>
          <w:lang w:val="ro-MD"/>
        </w:rPr>
        <w:t>FSE)</w:t>
      </w:r>
      <w:r w:rsidR="005372B3" w:rsidRPr="00C46FEA">
        <w:rPr>
          <w:rFonts w:ascii="Times New Roman" w:eastAsia="Times New Roman" w:hAnsi="Times New Roman" w:cs="Times New Roman"/>
          <w:sz w:val="24"/>
          <w:szCs w:val="24"/>
          <w:lang w:val="ro-MD"/>
        </w:rPr>
        <w:t xml:space="preserve"> stabilește: </w:t>
      </w:r>
    </w:p>
    <w:p w14:paraId="68BB80FF" w14:textId="77777777" w:rsidR="005372B3" w:rsidRPr="00C46FEA" w:rsidRDefault="005372B3" w:rsidP="00FE2742">
      <w:pPr>
        <w:pStyle w:val="ListParagraph"/>
        <w:numPr>
          <w:ilvl w:val="0"/>
          <w:numId w:val="40"/>
        </w:numPr>
        <w:spacing w:before="100" w:beforeAutospacing="1" w:after="100" w:afterAutospacing="1"/>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lastRenderedPageBreak/>
        <w:t xml:space="preserve">condițiile de participare a furnizorilor de servicii de echilibrare pe piața de echilibrare; </w:t>
      </w:r>
    </w:p>
    <w:p w14:paraId="7C509A70" w14:textId="77777777" w:rsidR="005372B3" w:rsidRPr="00C46FEA" w:rsidRDefault="005372B3" w:rsidP="00FE2742">
      <w:pPr>
        <w:pStyle w:val="ListParagraph"/>
        <w:numPr>
          <w:ilvl w:val="0"/>
          <w:numId w:val="40"/>
        </w:numPr>
        <w:spacing w:before="100" w:beforeAutospacing="1" w:after="100" w:afterAutospacing="1"/>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 xml:space="preserve">cerințele tehnice și comerciale aplicabile resurselor de echilibrare; </w:t>
      </w:r>
    </w:p>
    <w:p w14:paraId="3B41B8CB" w14:textId="77777777" w:rsidR="005372B3" w:rsidRPr="00C46FEA" w:rsidRDefault="005372B3" w:rsidP="00FE2742">
      <w:pPr>
        <w:pStyle w:val="ListParagraph"/>
        <w:numPr>
          <w:ilvl w:val="0"/>
          <w:numId w:val="40"/>
        </w:numPr>
        <w:spacing w:before="100" w:beforeAutospacing="1" w:after="100" w:afterAutospacing="1"/>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 xml:space="preserve">modul de ofertare, activare și decontare a energiei de echilibrare; </w:t>
      </w:r>
    </w:p>
    <w:p w14:paraId="635B1232" w14:textId="77777777" w:rsidR="005372B3" w:rsidRPr="00C46FEA" w:rsidRDefault="005372B3" w:rsidP="00FE2742">
      <w:pPr>
        <w:pStyle w:val="ListParagraph"/>
        <w:numPr>
          <w:ilvl w:val="0"/>
          <w:numId w:val="40"/>
        </w:numPr>
        <w:spacing w:before="100" w:beforeAutospacing="1" w:after="100" w:afterAutospacing="1"/>
        <w:jc w:val="both"/>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 xml:space="preserve">drepturile și obligațiile furnizorilor de servicii de echilibrare și ale operatorului sistemului de transport. </w:t>
      </w:r>
    </w:p>
    <w:p w14:paraId="37D5E8D3" w14:textId="144DCF3F" w:rsidR="005372B3" w:rsidRPr="00C46FEA" w:rsidRDefault="005372B3" w:rsidP="00FE2742">
      <w:pPr>
        <w:spacing w:after="0"/>
        <w:ind w:firstLine="567"/>
        <w:jc w:val="both"/>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Scopul principal al regulamentului este asigurarea disponibilității res</w:t>
      </w:r>
      <w:r w:rsidR="00E746F8" w:rsidRPr="00C46FEA">
        <w:rPr>
          <w:rFonts w:ascii="Times New Roman" w:eastAsia="Times New Roman" w:hAnsi="Times New Roman" w:cs="Times New Roman"/>
          <w:sz w:val="24"/>
          <w:szCs w:val="24"/>
          <w:lang w:val="ro-MD"/>
        </w:rPr>
        <w:t xml:space="preserve">urselor necesare pentru </w:t>
      </w:r>
      <w:r w:rsidRPr="00C46FEA">
        <w:rPr>
          <w:rFonts w:ascii="Times New Roman" w:eastAsia="Times New Roman" w:hAnsi="Times New Roman" w:cs="Times New Roman"/>
          <w:sz w:val="24"/>
          <w:szCs w:val="24"/>
          <w:lang w:val="ro-MD"/>
        </w:rPr>
        <w:t>menținerea echilibrului sistemului electroenergetic în timp real.</w:t>
      </w:r>
    </w:p>
    <w:p w14:paraId="2451A645" w14:textId="5272A72D" w:rsidR="005372B3" w:rsidRPr="00C46FEA" w:rsidRDefault="00E746F8" w:rsidP="00FE2742">
      <w:pPr>
        <w:spacing w:after="0"/>
        <w:ind w:firstLine="567"/>
        <w:jc w:val="both"/>
        <w:rPr>
          <w:rFonts w:ascii="Times New Roman" w:eastAsia="Times New Roman" w:hAnsi="Times New Roman" w:cs="Times New Roman"/>
          <w:sz w:val="24"/>
          <w:szCs w:val="24"/>
          <w:lang w:val="ro-MD"/>
        </w:rPr>
      </w:pPr>
      <w:r w:rsidRPr="00C46FEA">
        <w:rPr>
          <w:rFonts w:ascii="Times New Roman" w:eastAsia="Times New Roman" w:hAnsi="Times New Roman" w:cs="Times New Roman"/>
          <w:bCs/>
          <w:sz w:val="24"/>
          <w:szCs w:val="24"/>
          <w:lang w:val="ro-MD"/>
        </w:rPr>
        <w:t xml:space="preserve">La rândul său </w:t>
      </w:r>
      <w:r w:rsidR="005372B3" w:rsidRPr="00C46FEA">
        <w:rPr>
          <w:rFonts w:ascii="Times New Roman" w:eastAsia="Times New Roman" w:hAnsi="Times New Roman" w:cs="Times New Roman"/>
          <w:bCs/>
          <w:sz w:val="24"/>
          <w:szCs w:val="24"/>
          <w:lang w:val="ro-MD"/>
        </w:rPr>
        <w:t>Regulamentul privind clauzele și condițiile pentru părțile responsabile pentru echilibrare</w:t>
      </w:r>
      <w:r w:rsidR="005372B3" w:rsidRPr="00C46FEA">
        <w:rPr>
          <w:rFonts w:ascii="Times New Roman" w:eastAsia="Times New Roman" w:hAnsi="Times New Roman" w:cs="Times New Roman"/>
          <w:b/>
          <w:bCs/>
          <w:sz w:val="24"/>
          <w:szCs w:val="24"/>
          <w:lang w:val="ro-MD"/>
        </w:rPr>
        <w:t xml:space="preserve"> </w:t>
      </w:r>
      <w:r w:rsidR="005372B3" w:rsidRPr="00482AB2">
        <w:rPr>
          <w:rFonts w:ascii="Times New Roman" w:eastAsia="Times New Roman" w:hAnsi="Times New Roman" w:cs="Times New Roman"/>
          <w:bCs/>
          <w:i/>
          <w:sz w:val="24"/>
          <w:szCs w:val="24"/>
          <w:lang w:val="ro-MD"/>
        </w:rPr>
        <w:t>(</w:t>
      </w:r>
      <w:r w:rsidR="00C46FEA" w:rsidRPr="00482AB2">
        <w:rPr>
          <w:rFonts w:ascii="Times New Roman" w:eastAsia="Times New Roman" w:hAnsi="Times New Roman" w:cs="Times New Roman"/>
          <w:bCs/>
          <w:i/>
          <w:sz w:val="24"/>
          <w:szCs w:val="24"/>
          <w:lang w:val="ro-MD"/>
        </w:rPr>
        <w:t xml:space="preserve">în continuare – Regulament </w:t>
      </w:r>
      <w:r w:rsidR="005372B3" w:rsidRPr="00482AB2">
        <w:rPr>
          <w:rFonts w:ascii="Times New Roman" w:eastAsia="Times New Roman" w:hAnsi="Times New Roman" w:cs="Times New Roman"/>
          <w:bCs/>
          <w:i/>
          <w:sz w:val="24"/>
          <w:szCs w:val="24"/>
          <w:lang w:val="ro-MD"/>
        </w:rPr>
        <w:t>PRE)</w:t>
      </w:r>
      <w:r w:rsidR="005372B3" w:rsidRPr="00482AB2">
        <w:rPr>
          <w:rFonts w:ascii="Times New Roman" w:eastAsia="Times New Roman" w:hAnsi="Times New Roman" w:cs="Times New Roman"/>
          <w:sz w:val="24"/>
          <w:szCs w:val="24"/>
          <w:lang w:val="ro-MD"/>
        </w:rPr>
        <w:t xml:space="preserve"> </w:t>
      </w:r>
      <w:r w:rsidR="005372B3" w:rsidRPr="00C46FEA">
        <w:rPr>
          <w:rFonts w:ascii="Times New Roman" w:eastAsia="Times New Roman" w:hAnsi="Times New Roman" w:cs="Times New Roman"/>
          <w:sz w:val="24"/>
          <w:szCs w:val="24"/>
          <w:lang w:val="ro-MD"/>
        </w:rPr>
        <w:t xml:space="preserve">stabilește: </w:t>
      </w:r>
    </w:p>
    <w:p w14:paraId="6B6460B5" w14:textId="77777777" w:rsidR="005372B3" w:rsidRPr="00C46FEA" w:rsidRDefault="005372B3" w:rsidP="00FE2742">
      <w:pPr>
        <w:pStyle w:val="ListParagraph"/>
        <w:numPr>
          <w:ilvl w:val="0"/>
          <w:numId w:val="41"/>
        </w:numPr>
        <w:spacing w:before="100" w:beforeAutospacing="1" w:after="100" w:afterAutospacing="1"/>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 xml:space="preserve">regulile privind asumarea responsabilității pentru dezechilibre; </w:t>
      </w:r>
    </w:p>
    <w:p w14:paraId="04DEF013" w14:textId="77777777" w:rsidR="005372B3" w:rsidRPr="00C46FEA" w:rsidRDefault="005372B3" w:rsidP="00FE2742">
      <w:pPr>
        <w:pStyle w:val="ListParagraph"/>
        <w:numPr>
          <w:ilvl w:val="0"/>
          <w:numId w:val="41"/>
        </w:numPr>
        <w:spacing w:before="100" w:beforeAutospacing="1" w:after="100" w:afterAutospacing="1"/>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 xml:space="preserve">modul de determinare și decontare a dezechilibrelor; </w:t>
      </w:r>
    </w:p>
    <w:p w14:paraId="77ACC72A" w14:textId="77777777" w:rsidR="005372B3" w:rsidRPr="00C46FEA" w:rsidRDefault="005372B3" w:rsidP="00FE2742">
      <w:pPr>
        <w:pStyle w:val="ListParagraph"/>
        <w:numPr>
          <w:ilvl w:val="0"/>
          <w:numId w:val="41"/>
        </w:numPr>
        <w:spacing w:before="100" w:beforeAutospacing="1" w:after="100" w:afterAutospacing="1"/>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 xml:space="preserve">cerințele privind constituirea și administrarea grupurilor de echilibrare; </w:t>
      </w:r>
    </w:p>
    <w:p w14:paraId="3A61944A" w14:textId="77777777" w:rsidR="005372B3" w:rsidRPr="00C46FEA" w:rsidRDefault="005372B3" w:rsidP="00FE2742">
      <w:pPr>
        <w:pStyle w:val="ListParagraph"/>
        <w:numPr>
          <w:ilvl w:val="0"/>
          <w:numId w:val="41"/>
        </w:numPr>
        <w:spacing w:before="100" w:beforeAutospacing="1" w:after="100" w:afterAutospacing="1"/>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 xml:space="preserve">relațiile contractuale dintre PRE și operatorul sistemului de transport. </w:t>
      </w:r>
    </w:p>
    <w:p w14:paraId="4C82A270" w14:textId="77777777" w:rsidR="005372B3" w:rsidRPr="00C46FEA" w:rsidRDefault="005372B3" w:rsidP="00257648">
      <w:pPr>
        <w:spacing w:after="120"/>
        <w:ind w:firstLine="567"/>
        <w:jc w:val="both"/>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Scopul principal al regulamentului este crearea unui mecanism prin care participanții la piață să fie responsabili financiar pentru dezechilibrele pe care le generează, stimulând astfel prognozarea corectă și menținerea echilibrului sistemului electroenergetic.</w:t>
      </w:r>
    </w:p>
    <w:p w14:paraId="7C5B5B2D" w14:textId="114C9CDA" w:rsidR="005372B3" w:rsidRPr="00C46FEA" w:rsidRDefault="00C46FEA" w:rsidP="00257648">
      <w:pPr>
        <w:spacing w:after="120"/>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În</w:t>
      </w:r>
      <w:r w:rsidR="005372B3" w:rsidRPr="00C46FEA">
        <w:rPr>
          <w:rFonts w:ascii="Times New Roman" w:eastAsia="Times New Roman" w:hAnsi="Times New Roman" w:cs="Times New Roman"/>
          <w:sz w:val="24"/>
          <w:szCs w:val="24"/>
          <w:lang w:val="ro-MD"/>
        </w:rPr>
        <w:t xml:space="preserve"> ansamblu, cele două regulamente urmăresc: dezvoltarea unei piețe de echilibrare funcționale și transparente, integrarea principiilor europene de echilibrare</w:t>
      </w:r>
      <w:r w:rsidR="00741B74" w:rsidRPr="00C46FEA">
        <w:rPr>
          <w:rFonts w:ascii="Times New Roman" w:eastAsia="Times New Roman" w:hAnsi="Times New Roman" w:cs="Times New Roman"/>
          <w:sz w:val="24"/>
          <w:szCs w:val="24"/>
          <w:lang w:val="ro-MD"/>
        </w:rPr>
        <w:t xml:space="preserve"> în piața Republicii Moldova, </w:t>
      </w:r>
      <w:r w:rsidR="005372B3" w:rsidRPr="00C46FEA">
        <w:rPr>
          <w:rFonts w:ascii="Times New Roman" w:eastAsia="Times New Roman" w:hAnsi="Times New Roman" w:cs="Times New Roman"/>
          <w:sz w:val="24"/>
          <w:szCs w:val="24"/>
          <w:lang w:val="ro-MD"/>
        </w:rPr>
        <w:t>creșterea siguranței funcționăr</w:t>
      </w:r>
      <w:r w:rsidR="00741B74" w:rsidRPr="00C46FEA">
        <w:rPr>
          <w:rFonts w:ascii="Times New Roman" w:eastAsia="Times New Roman" w:hAnsi="Times New Roman" w:cs="Times New Roman"/>
          <w:sz w:val="24"/>
          <w:szCs w:val="24"/>
          <w:lang w:val="ro-MD"/>
        </w:rPr>
        <w:t xml:space="preserve">ii sistemului electroenergetic, </w:t>
      </w:r>
      <w:r w:rsidR="005372B3" w:rsidRPr="00C46FEA">
        <w:rPr>
          <w:rFonts w:ascii="Times New Roman" w:eastAsia="Times New Roman" w:hAnsi="Times New Roman" w:cs="Times New Roman"/>
          <w:sz w:val="24"/>
          <w:szCs w:val="24"/>
          <w:lang w:val="ro-MD"/>
        </w:rPr>
        <w:t>stimularea concurenței și participării resurselor flexibile la piața energiei electrice.</w:t>
      </w:r>
    </w:p>
    <w:p w14:paraId="0E03745A" w14:textId="52A76C59" w:rsidR="00E746F8" w:rsidRPr="00C46FEA" w:rsidRDefault="00577125" w:rsidP="00257648">
      <w:pPr>
        <w:spacing w:after="120"/>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De menționat că p</w:t>
      </w:r>
      <w:r w:rsidR="00E746F8" w:rsidRPr="00C46FEA">
        <w:rPr>
          <w:rFonts w:ascii="Times New Roman" w:eastAsia="Times New Roman" w:hAnsi="Times New Roman" w:cs="Times New Roman"/>
          <w:sz w:val="24"/>
          <w:szCs w:val="24"/>
          <w:lang w:val="ro-MD"/>
        </w:rPr>
        <w:t>iața energiei electrice de echilibrare reprezintă un segment esențial al pieței energiei electrice, destinat menținerii în timp real a echilibrului dintre producerea și consumul energiei electri</w:t>
      </w:r>
      <w:r>
        <w:rPr>
          <w:rFonts w:ascii="Times New Roman" w:eastAsia="Times New Roman" w:hAnsi="Times New Roman" w:cs="Times New Roman"/>
          <w:sz w:val="24"/>
          <w:szCs w:val="24"/>
          <w:lang w:val="ro-MD"/>
        </w:rPr>
        <w:t>ce în sistemul electroenergetic, aceasta fiind un instrument indispensabil operatorul</w:t>
      </w:r>
      <w:r w:rsidR="00465DA9">
        <w:rPr>
          <w:rFonts w:ascii="Times New Roman" w:eastAsia="Times New Roman" w:hAnsi="Times New Roman" w:cs="Times New Roman"/>
          <w:sz w:val="24"/>
          <w:szCs w:val="24"/>
          <w:lang w:val="ro-MD"/>
        </w:rPr>
        <w:t>ui</w:t>
      </w:r>
      <w:r>
        <w:rPr>
          <w:rFonts w:ascii="Times New Roman" w:eastAsia="Times New Roman" w:hAnsi="Times New Roman" w:cs="Times New Roman"/>
          <w:sz w:val="24"/>
          <w:szCs w:val="24"/>
          <w:lang w:val="ro-MD"/>
        </w:rPr>
        <w:t xml:space="preserve"> sistemului de trans</w:t>
      </w:r>
      <w:r w:rsidR="00465DA9">
        <w:rPr>
          <w:rFonts w:ascii="Times New Roman" w:eastAsia="Times New Roman" w:hAnsi="Times New Roman" w:cs="Times New Roman"/>
          <w:sz w:val="24"/>
          <w:szCs w:val="24"/>
          <w:lang w:val="ro-MD"/>
        </w:rPr>
        <w:t>port în realizarea funcțiilor și atribuțiilor sale în conformitate cu cadrul normativ în vigoare</w:t>
      </w:r>
      <w:r>
        <w:rPr>
          <w:rFonts w:ascii="Times New Roman" w:eastAsia="Times New Roman" w:hAnsi="Times New Roman" w:cs="Times New Roman"/>
          <w:sz w:val="24"/>
          <w:szCs w:val="24"/>
          <w:lang w:val="ro-MD"/>
        </w:rPr>
        <w:t xml:space="preserve">. </w:t>
      </w:r>
    </w:p>
    <w:p w14:paraId="47FE444E" w14:textId="5FED7B9A" w:rsidR="00E746F8" w:rsidRPr="00C46FEA" w:rsidRDefault="00577125" w:rsidP="00257648">
      <w:pPr>
        <w:spacing w:after="120"/>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Totodată, considerând statutul actual al dezvoltării piețelor angro de energie</w:t>
      </w:r>
      <w:r w:rsidR="00E746F8" w:rsidRPr="00C46FEA">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electrică</w:t>
      </w:r>
      <w:r w:rsidR="00E746F8" w:rsidRPr="00C46FEA">
        <w:rPr>
          <w:rFonts w:ascii="Times New Roman" w:eastAsia="Times New Roman" w:hAnsi="Times New Roman" w:cs="Times New Roman"/>
          <w:sz w:val="24"/>
          <w:szCs w:val="24"/>
          <w:lang w:val="ro-MD"/>
        </w:rPr>
        <w:t xml:space="preserve"> din Republica Moldova</w:t>
      </w:r>
      <w:r w:rsidR="000903C7">
        <w:rPr>
          <w:rFonts w:ascii="Times New Roman" w:eastAsia="Times New Roman" w:hAnsi="Times New Roman" w:cs="Times New Roman"/>
          <w:sz w:val="24"/>
          <w:szCs w:val="24"/>
          <w:lang w:val="ro-MD"/>
        </w:rPr>
        <w:t>,</w:t>
      </w:r>
      <w:r w:rsidR="00E746F8" w:rsidRPr="00C46FEA">
        <w:rPr>
          <w:rFonts w:ascii="Times New Roman" w:eastAsia="Times New Roman" w:hAnsi="Times New Roman" w:cs="Times New Roman"/>
          <w:sz w:val="24"/>
          <w:szCs w:val="24"/>
          <w:lang w:val="ro-MD"/>
        </w:rPr>
        <w:t xml:space="preserve"> exis</w:t>
      </w:r>
      <w:r>
        <w:rPr>
          <w:rFonts w:ascii="Times New Roman" w:eastAsia="Times New Roman" w:hAnsi="Times New Roman" w:cs="Times New Roman"/>
          <w:sz w:val="24"/>
          <w:szCs w:val="24"/>
          <w:lang w:val="ro-MD"/>
        </w:rPr>
        <w:t>t</w:t>
      </w:r>
      <w:r w:rsidR="00E746F8" w:rsidRPr="00C46FEA">
        <w:rPr>
          <w:rFonts w:ascii="Times New Roman" w:eastAsia="Times New Roman" w:hAnsi="Times New Roman" w:cs="Times New Roman"/>
          <w:sz w:val="24"/>
          <w:szCs w:val="24"/>
          <w:lang w:val="ro-MD"/>
        </w:rPr>
        <w:t>ă riscul apariției unor fluctuații excesive de preț pe piața energiei electrice de echilibrare, determinat inclusiv de:</w:t>
      </w:r>
      <w:r w:rsidR="00C46FEA">
        <w:rPr>
          <w:rFonts w:ascii="Times New Roman" w:eastAsia="Times New Roman" w:hAnsi="Times New Roman" w:cs="Times New Roman"/>
          <w:sz w:val="24"/>
          <w:szCs w:val="24"/>
          <w:lang w:val="ro-MD"/>
        </w:rPr>
        <w:t xml:space="preserve"> </w:t>
      </w:r>
      <w:r w:rsidR="00E746F8" w:rsidRPr="00C46FEA">
        <w:rPr>
          <w:rFonts w:ascii="Times New Roman" w:eastAsia="Times New Roman" w:hAnsi="Times New Roman" w:cs="Times New Roman"/>
          <w:sz w:val="24"/>
          <w:szCs w:val="24"/>
          <w:lang w:val="ro-MD"/>
        </w:rPr>
        <w:t>numărul redus de furniz</w:t>
      </w:r>
      <w:r w:rsidR="00C46FEA">
        <w:rPr>
          <w:rFonts w:ascii="Times New Roman" w:eastAsia="Times New Roman" w:hAnsi="Times New Roman" w:cs="Times New Roman"/>
          <w:sz w:val="24"/>
          <w:szCs w:val="24"/>
          <w:lang w:val="ro-MD"/>
        </w:rPr>
        <w:t xml:space="preserve">ori de servicii de echilibrare, </w:t>
      </w:r>
      <w:r w:rsidR="00E746F8" w:rsidRPr="00C46FEA">
        <w:rPr>
          <w:rFonts w:ascii="Times New Roman" w:eastAsia="Times New Roman" w:hAnsi="Times New Roman" w:cs="Times New Roman"/>
          <w:sz w:val="24"/>
          <w:szCs w:val="24"/>
          <w:lang w:val="ro-MD"/>
        </w:rPr>
        <w:t>gradu</w:t>
      </w:r>
      <w:r w:rsidR="00C46FEA">
        <w:rPr>
          <w:rFonts w:ascii="Times New Roman" w:eastAsia="Times New Roman" w:hAnsi="Times New Roman" w:cs="Times New Roman"/>
          <w:sz w:val="24"/>
          <w:szCs w:val="24"/>
          <w:lang w:val="ro-MD"/>
        </w:rPr>
        <w:t>l redus de lichiditate a pieței,</w:t>
      </w:r>
      <w:r w:rsidR="00E746F8" w:rsidRPr="00C46FEA">
        <w:rPr>
          <w:rFonts w:ascii="Times New Roman" w:eastAsia="Times New Roman" w:hAnsi="Times New Roman" w:cs="Times New Roman"/>
          <w:sz w:val="24"/>
          <w:szCs w:val="24"/>
          <w:lang w:val="ro-MD"/>
        </w:rPr>
        <w:t xml:space="preserve"> </w:t>
      </w:r>
      <w:r w:rsidR="00C46FEA">
        <w:rPr>
          <w:rFonts w:ascii="Times New Roman" w:eastAsia="Times New Roman" w:hAnsi="Times New Roman" w:cs="Times New Roman"/>
          <w:sz w:val="24"/>
          <w:szCs w:val="24"/>
          <w:lang w:val="ro-MD"/>
        </w:rPr>
        <w:t xml:space="preserve">gradul de </w:t>
      </w:r>
      <w:r w:rsidR="00E746F8" w:rsidRPr="00C46FEA">
        <w:rPr>
          <w:rFonts w:ascii="Times New Roman" w:eastAsia="Times New Roman" w:hAnsi="Times New Roman" w:cs="Times New Roman"/>
          <w:sz w:val="24"/>
          <w:szCs w:val="24"/>
          <w:lang w:val="ro-MD"/>
        </w:rPr>
        <w:t>concen</w:t>
      </w:r>
      <w:r w:rsidR="00C46FEA">
        <w:rPr>
          <w:rFonts w:ascii="Times New Roman" w:eastAsia="Times New Roman" w:hAnsi="Times New Roman" w:cs="Times New Roman"/>
          <w:sz w:val="24"/>
          <w:szCs w:val="24"/>
          <w:lang w:val="ro-MD"/>
        </w:rPr>
        <w:t xml:space="preserve">trare ridicat al capacităților flexibile, </w:t>
      </w:r>
      <w:r w:rsidR="00E746F8" w:rsidRPr="00C46FEA">
        <w:rPr>
          <w:rFonts w:ascii="Times New Roman" w:eastAsia="Times New Roman" w:hAnsi="Times New Roman" w:cs="Times New Roman"/>
          <w:sz w:val="24"/>
          <w:szCs w:val="24"/>
          <w:lang w:val="ro-MD"/>
        </w:rPr>
        <w:t>posibilitatea exercitării puterii de piaț</w:t>
      </w:r>
      <w:r w:rsidR="00C46FEA">
        <w:rPr>
          <w:rFonts w:ascii="Times New Roman" w:eastAsia="Times New Roman" w:hAnsi="Times New Roman" w:cs="Times New Roman"/>
          <w:sz w:val="24"/>
          <w:szCs w:val="24"/>
          <w:lang w:val="ro-MD"/>
        </w:rPr>
        <w:t xml:space="preserve">ă în anumite intervale de timp, </w:t>
      </w:r>
      <w:r w:rsidR="00E746F8" w:rsidRPr="00C46FEA">
        <w:rPr>
          <w:rFonts w:ascii="Times New Roman" w:eastAsia="Times New Roman" w:hAnsi="Times New Roman" w:cs="Times New Roman"/>
          <w:sz w:val="24"/>
          <w:szCs w:val="24"/>
          <w:lang w:val="ro-MD"/>
        </w:rPr>
        <w:t xml:space="preserve">nivelul limitat al interconexiunilor și al resurselor disponibile pentru echilibrare. </w:t>
      </w:r>
    </w:p>
    <w:p w14:paraId="2E0F37C4" w14:textId="7A139E56" w:rsidR="00E746F8" w:rsidRPr="00C46FEA" w:rsidRDefault="00E746F8" w:rsidP="00257648">
      <w:pPr>
        <w:spacing w:after="120"/>
        <w:ind w:firstLine="567"/>
        <w:jc w:val="both"/>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În lipsa unor măsuri de protecție, prețurile excesive ale energiei de echilibrare și</w:t>
      </w:r>
      <w:r w:rsidR="00C46FEA">
        <w:rPr>
          <w:rFonts w:ascii="Times New Roman" w:eastAsia="Times New Roman" w:hAnsi="Times New Roman" w:cs="Times New Roman"/>
          <w:sz w:val="24"/>
          <w:szCs w:val="24"/>
          <w:lang w:val="ro-MD"/>
        </w:rPr>
        <w:t xml:space="preserve"> respectiv</w:t>
      </w:r>
      <w:r w:rsidRPr="00C46FEA">
        <w:rPr>
          <w:rFonts w:ascii="Times New Roman" w:eastAsia="Times New Roman" w:hAnsi="Times New Roman" w:cs="Times New Roman"/>
          <w:sz w:val="24"/>
          <w:szCs w:val="24"/>
          <w:lang w:val="ro-MD"/>
        </w:rPr>
        <w:t xml:space="preserve"> ale dezechilibrelor </w:t>
      </w:r>
      <w:r w:rsidR="00C46FEA">
        <w:rPr>
          <w:rFonts w:ascii="Times New Roman" w:eastAsia="Times New Roman" w:hAnsi="Times New Roman" w:cs="Times New Roman"/>
          <w:sz w:val="24"/>
          <w:szCs w:val="24"/>
          <w:lang w:val="ro-MD"/>
        </w:rPr>
        <w:t xml:space="preserve">decontate părților responsabile pentru echilibrare </w:t>
      </w:r>
      <w:r w:rsidR="00C46FEA" w:rsidRPr="00C46FEA">
        <w:rPr>
          <w:rFonts w:ascii="Times New Roman" w:eastAsia="Times New Roman" w:hAnsi="Times New Roman" w:cs="Times New Roman"/>
          <w:i/>
          <w:sz w:val="24"/>
          <w:szCs w:val="24"/>
          <w:lang w:val="ro-MD"/>
        </w:rPr>
        <w:t>(în continuare – PRE)</w:t>
      </w:r>
      <w:r w:rsidR="00C46FEA">
        <w:rPr>
          <w:rFonts w:ascii="Times New Roman" w:eastAsia="Times New Roman" w:hAnsi="Times New Roman" w:cs="Times New Roman"/>
          <w:sz w:val="24"/>
          <w:szCs w:val="24"/>
          <w:lang w:val="ro-MD"/>
        </w:rPr>
        <w:t xml:space="preserve"> </w:t>
      </w:r>
      <w:r w:rsidRPr="00C46FEA">
        <w:rPr>
          <w:rFonts w:ascii="Times New Roman" w:eastAsia="Times New Roman" w:hAnsi="Times New Roman" w:cs="Times New Roman"/>
          <w:sz w:val="24"/>
          <w:szCs w:val="24"/>
          <w:lang w:val="ro-MD"/>
        </w:rPr>
        <w:t>pot genera:</w:t>
      </w:r>
      <w:r w:rsidR="00C46FEA">
        <w:rPr>
          <w:rFonts w:ascii="Times New Roman" w:eastAsia="Times New Roman" w:hAnsi="Times New Roman" w:cs="Times New Roman"/>
          <w:sz w:val="24"/>
          <w:szCs w:val="24"/>
          <w:lang w:val="ro-MD"/>
        </w:rPr>
        <w:t xml:space="preserve"> </w:t>
      </w:r>
      <w:r w:rsidRPr="00C46FEA">
        <w:rPr>
          <w:rFonts w:ascii="Times New Roman" w:eastAsia="Times New Roman" w:hAnsi="Times New Roman" w:cs="Times New Roman"/>
          <w:sz w:val="24"/>
          <w:szCs w:val="24"/>
          <w:lang w:val="ro-MD"/>
        </w:rPr>
        <w:t>expuneri financiare disproporționate</w:t>
      </w:r>
      <w:r w:rsidR="00C46FEA">
        <w:rPr>
          <w:rFonts w:ascii="Times New Roman" w:eastAsia="Times New Roman" w:hAnsi="Times New Roman" w:cs="Times New Roman"/>
          <w:sz w:val="24"/>
          <w:szCs w:val="24"/>
          <w:lang w:val="ro-MD"/>
        </w:rPr>
        <w:t xml:space="preserve"> pentru participanții la piață, </w:t>
      </w:r>
      <w:r w:rsidRPr="00C46FEA">
        <w:rPr>
          <w:rFonts w:ascii="Times New Roman" w:eastAsia="Times New Roman" w:hAnsi="Times New Roman" w:cs="Times New Roman"/>
          <w:sz w:val="24"/>
          <w:szCs w:val="24"/>
          <w:lang w:val="ro-MD"/>
        </w:rPr>
        <w:t>creșterea semnifi</w:t>
      </w:r>
      <w:r w:rsidR="00C46FEA">
        <w:rPr>
          <w:rFonts w:ascii="Times New Roman" w:eastAsia="Times New Roman" w:hAnsi="Times New Roman" w:cs="Times New Roman"/>
          <w:sz w:val="24"/>
          <w:szCs w:val="24"/>
          <w:lang w:val="ro-MD"/>
        </w:rPr>
        <w:t xml:space="preserve">cativă a riscurilor comerciale, </w:t>
      </w:r>
      <w:r w:rsidRPr="00C46FEA">
        <w:rPr>
          <w:rFonts w:ascii="Times New Roman" w:eastAsia="Times New Roman" w:hAnsi="Times New Roman" w:cs="Times New Roman"/>
          <w:sz w:val="24"/>
          <w:szCs w:val="24"/>
          <w:lang w:val="ro-MD"/>
        </w:rPr>
        <w:t>afectarea stabilității financiare a furnizorilor și a părțilo</w:t>
      </w:r>
      <w:r w:rsidR="00C46FEA">
        <w:rPr>
          <w:rFonts w:ascii="Times New Roman" w:eastAsia="Times New Roman" w:hAnsi="Times New Roman" w:cs="Times New Roman"/>
          <w:sz w:val="24"/>
          <w:szCs w:val="24"/>
          <w:lang w:val="ro-MD"/>
        </w:rPr>
        <w:t xml:space="preserve">r responsabile cu echilibrarea, </w:t>
      </w:r>
      <w:r w:rsidRPr="00C46FEA">
        <w:rPr>
          <w:rFonts w:ascii="Times New Roman" w:eastAsia="Times New Roman" w:hAnsi="Times New Roman" w:cs="Times New Roman"/>
          <w:sz w:val="24"/>
          <w:szCs w:val="24"/>
          <w:lang w:val="ro-MD"/>
        </w:rPr>
        <w:t xml:space="preserve">distorsiuni în funcționarea pieței energiei electrice. </w:t>
      </w:r>
    </w:p>
    <w:p w14:paraId="455D62A7" w14:textId="735E059C" w:rsidR="007244A1" w:rsidRDefault="007244A1" w:rsidP="00257648">
      <w:pPr>
        <w:spacing w:after="120"/>
        <w:ind w:firstLine="567"/>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Subsecvent, cadrul normativ aplicabil și anume pct.</w:t>
      </w:r>
      <w:r w:rsidR="00496CB3">
        <w:rPr>
          <w:rFonts w:ascii="Times New Roman" w:eastAsia="Times New Roman" w:hAnsi="Times New Roman" w:cs="Times New Roman"/>
          <w:sz w:val="24"/>
          <w:szCs w:val="24"/>
          <w:lang w:val="ro-MD"/>
        </w:rPr>
        <w:t xml:space="preserve"> 273 – 275 din</w:t>
      </w:r>
      <w:r>
        <w:rPr>
          <w:rFonts w:ascii="Times New Roman" w:eastAsia="Times New Roman" w:hAnsi="Times New Roman" w:cs="Times New Roman"/>
          <w:sz w:val="24"/>
          <w:szCs w:val="24"/>
          <w:lang w:val="ro-MD"/>
        </w:rPr>
        <w:t xml:space="preserve">  Regulile pieței energiei electrice </w:t>
      </w:r>
      <w:r w:rsidRPr="007244A1">
        <w:rPr>
          <w:rFonts w:ascii="Times New Roman" w:eastAsia="Times New Roman" w:hAnsi="Times New Roman" w:cs="Times New Roman"/>
          <w:i/>
          <w:sz w:val="24"/>
          <w:szCs w:val="24"/>
          <w:lang w:val="ro-MD"/>
        </w:rPr>
        <w:t>(în continuare – RPEE)</w:t>
      </w:r>
      <w:r w:rsidR="00496CB3">
        <w:rPr>
          <w:rFonts w:ascii="Times New Roman" w:eastAsia="Times New Roman" w:hAnsi="Times New Roman" w:cs="Times New Roman"/>
          <w:i/>
          <w:sz w:val="24"/>
          <w:szCs w:val="24"/>
          <w:lang w:val="ro-MD"/>
        </w:rPr>
        <w:t xml:space="preserve"> </w:t>
      </w:r>
      <w:r w:rsidR="00496CB3">
        <w:rPr>
          <w:rFonts w:ascii="Times New Roman" w:eastAsia="Times New Roman" w:hAnsi="Times New Roman" w:cs="Times New Roman"/>
          <w:sz w:val="24"/>
          <w:szCs w:val="24"/>
          <w:lang w:val="ro-MD"/>
        </w:rPr>
        <w:t>presupun aplicarea unor limite de preț pentru energia electrică de echilibrare și anume:</w:t>
      </w:r>
    </w:p>
    <w:p w14:paraId="5C80320E" w14:textId="77777777" w:rsidR="00496CB3" w:rsidRPr="001E2F43" w:rsidRDefault="00496CB3" w:rsidP="00FE2742">
      <w:pPr>
        <w:spacing w:after="0"/>
        <w:ind w:firstLine="567"/>
        <w:rPr>
          <w:rFonts w:ascii="Times New Roman" w:eastAsia="Times New Roman" w:hAnsi="Times New Roman" w:cs="Times New Roman"/>
          <w:i/>
          <w:sz w:val="24"/>
          <w:szCs w:val="24"/>
          <w:lang w:val="ro-MD"/>
        </w:rPr>
      </w:pPr>
      <w:r>
        <w:rPr>
          <w:rFonts w:ascii="Times New Roman" w:eastAsia="Times New Roman" w:hAnsi="Times New Roman" w:cs="Times New Roman"/>
          <w:sz w:val="24"/>
          <w:szCs w:val="24"/>
          <w:lang w:val="ro-MD"/>
        </w:rPr>
        <w:t>„</w:t>
      </w:r>
      <w:r w:rsidRPr="001E2F43">
        <w:rPr>
          <w:rFonts w:ascii="Times New Roman" w:eastAsia="Times New Roman" w:hAnsi="Times New Roman" w:cs="Times New Roman"/>
          <w:i/>
          <w:sz w:val="24"/>
          <w:szCs w:val="24"/>
          <w:lang w:val="ro-MD"/>
        </w:rPr>
        <w:t xml:space="preserve">273. Ofertele de energie electrică de echilibrare pe PEE trebuie să se încadreze între valorile preţurilor minime şi maxime stabilite conform prezentelor reguli şi valorilor aprobate de Agenţie. </w:t>
      </w:r>
      <w:r w:rsidRPr="001E2F43">
        <w:rPr>
          <w:rFonts w:ascii="Times New Roman" w:eastAsia="Times New Roman" w:hAnsi="Times New Roman" w:cs="Times New Roman"/>
          <w:i/>
          <w:sz w:val="24"/>
          <w:szCs w:val="24"/>
          <w:lang w:val="ro-MD"/>
        </w:rPr>
        <w:lastRenderedPageBreak/>
        <w:t>Limita preţurilor maxime şi minime sau principiul determinării acestora va fi stabilită de Agenţie printr-o hotărâre separată. (...)</w:t>
      </w:r>
    </w:p>
    <w:p w14:paraId="37D29AC3" w14:textId="77777777" w:rsidR="001E2F43" w:rsidRPr="001E2F43" w:rsidRDefault="00496CB3" w:rsidP="00FE2742">
      <w:pPr>
        <w:spacing w:after="0"/>
        <w:ind w:firstLine="567"/>
        <w:rPr>
          <w:rFonts w:ascii="Times New Roman" w:eastAsia="Times New Roman" w:hAnsi="Times New Roman" w:cs="Times New Roman"/>
          <w:i/>
          <w:sz w:val="24"/>
          <w:szCs w:val="24"/>
          <w:lang w:val="ro-MD"/>
        </w:rPr>
      </w:pPr>
      <w:r w:rsidRPr="001E2F43">
        <w:rPr>
          <w:rFonts w:ascii="Times New Roman" w:eastAsia="Times New Roman" w:hAnsi="Times New Roman" w:cs="Times New Roman"/>
          <w:i/>
          <w:sz w:val="24"/>
          <w:szCs w:val="24"/>
          <w:lang w:val="ro-MD"/>
        </w:rPr>
        <w:t>274. Limitele preţurilor minime şi maxime pentru tranzacţiile încheiate pe PEE vor fi determinate de Agenţie, ţinând cont de evoluţiile preţurilor la energia electrică la nivel naţional şi regional.</w:t>
      </w:r>
    </w:p>
    <w:p w14:paraId="4F8E664C" w14:textId="55CF19E8" w:rsidR="00496CB3" w:rsidRPr="001E2F43" w:rsidRDefault="001E2F43" w:rsidP="00FE2742">
      <w:pPr>
        <w:spacing w:after="0"/>
        <w:ind w:firstLine="567"/>
        <w:rPr>
          <w:rFonts w:ascii="Times New Roman" w:eastAsia="Times New Roman" w:hAnsi="Times New Roman" w:cs="Times New Roman"/>
          <w:i/>
          <w:sz w:val="24"/>
          <w:szCs w:val="24"/>
          <w:lang w:val="ro-MD"/>
        </w:rPr>
      </w:pPr>
      <w:r w:rsidRPr="001E2F43">
        <w:rPr>
          <w:rFonts w:ascii="Times New Roman" w:eastAsia="Times New Roman" w:hAnsi="Times New Roman" w:cs="Times New Roman"/>
          <w:i/>
          <w:sz w:val="24"/>
          <w:szCs w:val="24"/>
          <w:lang w:val="ro-MD"/>
        </w:rPr>
        <w:t>275. Proiectul hotărârii de aprobare a preţurilor minime şi maxime pentru tranzacţiile încheiate pe PEE este supus consultărilor publice în conformitate cu prevederile Legii nr. 239/2008 privind transparenţa în procesul decizional.</w:t>
      </w:r>
      <w:r w:rsidR="00496CB3" w:rsidRPr="001E2F43">
        <w:rPr>
          <w:rFonts w:ascii="Times New Roman" w:eastAsia="Times New Roman" w:hAnsi="Times New Roman" w:cs="Times New Roman"/>
          <w:i/>
          <w:sz w:val="24"/>
          <w:szCs w:val="24"/>
          <w:lang w:val="ro-MD"/>
        </w:rPr>
        <w:t>”</w:t>
      </w:r>
    </w:p>
    <w:p w14:paraId="18DB3911" w14:textId="1662BFA4" w:rsidR="00E746F8" w:rsidRDefault="00E746F8" w:rsidP="00FE2742">
      <w:pPr>
        <w:spacing w:after="0"/>
        <w:ind w:firstLine="567"/>
        <w:jc w:val="both"/>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Prin urmare,</w:t>
      </w:r>
      <w:r w:rsidR="003815D8">
        <w:rPr>
          <w:rFonts w:ascii="Times New Roman" w:eastAsia="Times New Roman" w:hAnsi="Times New Roman" w:cs="Times New Roman"/>
          <w:sz w:val="24"/>
          <w:szCs w:val="24"/>
          <w:lang w:val="ro-MD"/>
        </w:rPr>
        <w:t xml:space="preserve"> considerând prevederile pct.</w:t>
      </w:r>
      <w:r w:rsidR="007244A1">
        <w:rPr>
          <w:rFonts w:ascii="Times New Roman" w:eastAsia="Times New Roman" w:hAnsi="Times New Roman" w:cs="Times New Roman"/>
          <w:sz w:val="24"/>
          <w:szCs w:val="24"/>
          <w:lang w:val="ro-MD"/>
        </w:rPr>
        <w:t xml:space="preserve"> 273 </w:t>
      </w:r>
      <w:r w:rsidR="00672A5D">
        <w:rPr>
          <w:rFonts w:ascii="Times New Roman" w:eastAsia="Times New Roman" w:hAnsi="Times New Roman" w:cs="Times New Roman"/>
          <w:sz w:val="24"/>
          <w:szCs w:val="24"/>
          <w:lang w:val="ro-MD"/>
        </w:rPr>
        <w:t>–</w:t>
      </w:r>
      <w:r w:rsidR="007244A1">
        <w:rPr>
          <w:rFonts w:ascii="Times New Roman" w:eastAsia="Times New Roman" w:hAnsi="Times New Roman" w:cs="Times New Roman"/>
          <w:sz w:val="24"/>
          <w:szCs w:val="24"/>
          <w:lang w:val="ro-MD"/>
        </w:rPr>
        <w:t xml:space="preserve"> 275</w:t>
      </w:r>
      <w:r w:rsidR="00672A5D">
        <w:rPr>
          <w:rFonts w:ascii="Times New Roman" w:eastAsia="Times New Roman" w:hAnsi="Times New Roman" w:cs="Times New Roman"/>
          <w:sz w:val="24"/>
          <w:szCs w:val="24"/>
          <w:lang w:val="ro-MD"/>
        </w:rPr>
        <w:t xml:space="preserve"> din RPEE</w:t>
      </w:r>
      <w:r w:rsidR="003815D8">
        <w:rPr>
          <w:rFonts w:ascii="Times New Roman" w:eastAsia="Times New Roman" w:hAnsi="Times New Roman" w:cs="Times New Roman"/>
          <w:sz w:val="24"/>
          <w:szCs w:val="24"/>
          <w:lang w:val="ro-MD"/>
        </w:rPr>
        <w:t xml:space="preserve"> </w:t>
      </w:r>
      <w:r w:rsidR="001E2F43">
        <w:rPr>
          <w:rFonts w:ascii="Times New Roman" w:eastAsia="Times New Roman" w:hAnsi="Times New Roman" w:cs="Times New Roman"/>
          <w:sz w:val="24"/>
          <w:szCs w:val="24"/>
          <w:lang w:val="ro-MD"/>
        </w:rPr>
        <w:t>menționate</w:t>
      </w:r>
      <w:r w:rsidR="00FA56BB">
        <w:rPr>
          <w:rFonts w:ascii="Times New Roman" w:eastAsia="Times New Roman" w:hAnsi="Times New Roman" w:cs="Times New Roman"/>
          <w:sz w:val="24"/>
          <w:szCs w:val="24"/>
          <w:lang w:val="ro-MD"/>
        </w:rPr>
        <w:t>,</w:t>
      </w:r>
      <w:r w:rsidRPr="00C46FEA">
        <w:rPr>
          <w:rFonts w:ascii="Times New Roman" w:eastAsia="Times New Roman" w:hAnsi="Times New Roman" w:cs="Times New Roman"/>
          <w:sz w:val="24"/>
          <w:szCs w:val="24"/>
          <w:lang w:val="ro-MD"/>
        </w:rPr>
        <w:t xml:space="preserve"> </w:t>
      </w:r>
      <w:r w:rsidR="0080670C">
        <w:rPr>
          <w:rFonts w:ascii="Times New Roman" w:eastAsia="Times New Roman" w:hAnsi="Times New Roman" w:cs="Times New Roman"/>
          <w:sz w:val="24"/>
          <w:szCs w:val="24"/>
          <w:lang w:val="ro-MD"/>
        </w:rPr>
        <w:t xml:space="preserve">se consideră argumentată instituirea unui </w:t>
      </w:r>
      <w:r w:rsidR="00482AB2">
        <w:rPr>
          <w:rFonts w:ascii="Times New Roman" w:eastAsia="Times New Roman" w:hAnsi="Times New Roman" w:cs="Times New Roman"/>
          <w:sz w:val="24"/>
          <w:szCs w:val="24"/>
          <w:lang w:val="ro-MD"/>
        </w:rPr>
        <w:t>mecanism temporar</w:t>
      </w:r>
      <w:r w:rsidR="00482AB2" w:rsidRPr="00C46FEA">
        <w:rPr>
          <w:rFonts w:ascii="Times New Roman" w:eastAsia="Times New Roman" w:hAnsi="Times New Roman" w:cs="Times New Roman"/>
          <w:sz w:val="24"/>
          <w:szCs w:val="24"/>
          <w:lang w:val="ro-MD"/>
        </w:rPr>
        <w:t xml:space="preserve"> </w:t>
      </w:r>
      <w:r w:rsidR="00482AB2">
        <w:rPr>
          <w:rFonts w:ascii="Times New Roman" w:eastAsia="Times New Roman" w:hAnsi="Times New Roman" w:cs="Times New Roman"/>
          <w:sz w:val="24"/>
          <w:szCs w:val="24"/>
          <w:lang w:val="ro-MD"/>
        </w:rPr>
        <w:t>de normalizare a prețului, și anume</w:t>
      </w:r>
      <w:r w:rsidRPr="00C46FEA">
        <w:rPr>
          <w:rFonts w:ascii="Times New Roman" w:eastAsia="Times New Roman" w:hAnsi="Times New Roman" w:cs="Times New Roman"/>
          <w:sz w:val="24"/>
          <w:szCs w:val="24"/>
          <w:lang w:val="ro-MD"/>
        </w:rPr>
        <w:t>:</w:t>
      </w:r>
    </w:p>
    <w:p w14:paraId="63E4F3D7" w14:textId="46351B56" w:rsidR="00C232CF" w:rsidRDefault="00C232CF" w:rsidP="00FE2742">
      <w:pPr>
        <w:spacing w:after="0"/>
        <w:ind w:firstLine="567"/>
        <w:rPr>
          <w:rFonts w:ascii="Times New Roman" w:eastAsia="Times New Roman" w:hAnsi="Times New Roman" w:cs="Times New Roman"/>
          <w:b/>
          <w:sz w:val="24"/>
          <w:szCs w:val="24"/>
          <w:lang w:val="ro-MD"/>
        </w:rPr>
      </w:pPr>
      <w:r w:rsidRPr="00C232CF">
        <w:rPr>
          <w:rFonts w:ascii="Times New Roman" w:eastAsia="Times New Roman" w:hAnsi="Times New Roman" w:cs="Times New Roman"/>
          <w:b/>
          <w:sz w:val="24"/>
          <w:szCs w:val="24"/>
          <w:lang w:val="ro-MD"/>
        </w:rPr>
        <w:t xml:space="preserve">Pentru energia electrică de echilibrare: </w:t>
      </w:r>
    </w:p>
    <w:p w14:paraId="7E668AA7" w14:textId="77777777" w:rsidR="00257648" w:rsidRPr="00C232CF" w:rsidRDefault="00257648" w:rsidP="00FE2742">
      <w:pPr>
        <w:spacing w:after="0"/>
        <w:ind w:firstLine="567"/>
        <w:rPr>
          <w:rFonts w:ascii="Times New Roman" w:eastAsia="Times New Roman" w:hAnsi="Times New Roman" w:cs="Times New Roman"/>
          <w:b/>
          <w:sz w:val="24"/>
          <w:szCs w:val="24"/>
          <w:lang w:val="ro-MD"/>
        </w:rPr>
      </w:pPr>
    </w:p>
    <w:p w14:paraId="2D28F301" w14:textId="7F772218" w:rsidR="00E746F8" w:rsidRDefault="00A95893" w:rsidP="00FE2742">
      <w:pPr>
        <w:numPr>
          <w:ilvl w:val="0"/>
          <w:numId w:val="44"/>
        </w:numPr>
        <w:spacing w:after="0"/>
        <w:rPr>
          <w:rFonts w:ascii="Times New Roman" w:eastAsia="Times New Roman" w:hAnsi="Times New Roman" w:cs="Times New Roman"/>
          <w:sz w:val="24"/>
          <w:szCs w:val="24"/>
          <w:lang w:val="ro-MD"/>
        </w:rPr>
      </w:pPr>
      <w:r>
        <w:rPr>
          <w:rFonts w:ascii="Times New Roman" w:eastAsia="Times New Roman" w:hAnsi="Times New Roman" w:cs="Times New Roman"/>
          <w:b/>
          <w:sz w:val="24"/>
          <w:szCs w:val="24"/>
          <w:lang w:val="ro-MD"/>
        </w:rPr>
        <w:t xml:space="preserve">(+) </w:t>
      </w:r>
      <w:r w:rsidR="00620C38">
        <w:rPr>
          <w:rFonts w:ascii="Times New Roman" w:eastAsia="Times New Roman" w:hAnsi="Times New Roman" w:cs="Times New Roman"/>
          <w:b/>
          <w:sz w:val="24"/>
          <w:szCs w:val="24"/>
          <w:lang w:val="ro-MD"/>
        </w:rPr>
        <w:t>8</w:t>
      </w:r>
      <w:r w:rsidR="00E746F8" w:rsidRPr="004B7E39">
        <w:rPr>
          <w:rFonts w:ascii="Times New Roman" w:eastAsia="Times New Roman" w:hAnsi="Times New Roman" w:cs="Times New Roman"/>
          <w:b/>
          <w:sz w:val="24"/>
          <w:szCs w:val="24"/>
          <w:lang w:val="ro-MD"/>
        </w:rPr>
        <w:t xml:space="preserve"> 000 lei/MWh</w:t>
      </w:r>
      <w:r w:rsidR="00E746F8" w:rsidRPr="00C46FEA">
        <w:rPr>
          <w:rFonts w:ascii="Times New Roman" w:eastAsia="Times New Roman" w:hAnsi="Times New Roman" w:cs="Times New Roman"/>
          <w:sz w:val="24"/>
          <w:szCs w:val="24"/>
          <w:lang w:val="ro-MD"/>
        </w:rPr>
        <w:t xml:space="preserve"> pentru energia electrică de echilibrare</w:t>
      </w:r>
      <w:r w:rsidR="004B7E39">
        <w:rPr>
          <w:rFonts w:ascii="Times New Roman" w:eastAsia="Times New Roman" w:hAnsi="Times New Roman" w:cs="Times New Roman"/>
          <w:sz w:val="24"/>
          <w:szCs w:val="24"/>
          <w:lang w:val="ro-MD"/>
        </w:rPr>
        <w:t xml:space="preserve"> la creștere de putere (atât de tip aFRR cât și mFRR)</w:t>
      </w:r>
      <w:r w:rsidR="00E746F8" w:rsidRPr="00C46FEA">
        <w:rPr>
          <w:rFonts w:ascii="Times New Roman" w:eastAsia="Times New Roman" w:hAnsi="Times New Roman" w:cs="Times New Roman"/>
          <w:sz w:val="24"/>
          <w:szCs w:val="24"/>
          <w:lang w:val="ro-MD"/>
        </w:rPr>
        <w:t xml:space="preserve">; </w:t>
      </w:r>
    </w:p>
    <w:p w14:paraId="4765342F" w14:textId="4F98C064" w:rsidR="00A95893" w:rsidRDefault="00A95893" w:rsidP="00FE2742">
      <w:pPr>
        <w:numPr>
          <w:ilvl w:val="0"/>
          <w:numId w:val="44"/>
        </w:numPr>
        <w:spacing w:after="0"/>
        <w:rPr>
          <w:rFonts w:ascii="Times New Roman" w:eastAsia="Times New Roman" w:hAnsi="Times New Roman" w:cs="Times New Roman"/>
          <w:sz w:val="24"/>
          <w:szCs w:val="24"/>
          <w:lang w:val="ro-MD"/>
        </w:rPr>
      </w:pPr>
      <w:r>
        <w:rPr>
          <w:rFonts w:ascii="Times New Roman" w:eastAsia="Times New Roman" w:hAnsi="Times New Roman" w:cs="Times New Roman"/>
          <w:b/>
          <w:sz w:val="24"/>
          <w:szCs w:val="24"/>
          <w:lang w:val="ro-MD"/>
        </w:rPr>
        <w:t xml:space="preserve">(-) </w:t>
      </w:r>
      <w:r w:rsidR="00620C38">
        <w:rPr>
          <w:rFonts w:ascii="Times New Roman" w:eastAsia="Times New Roman" w:hAnsi="Times New Roman" w:cs="Times New Roman"/>
          <w:b/>
          <w:sz w:val="24"/>
          <w:szCs w:val="24"/>
          <w:lang w:val="ro-MD"/>
        </w:rPr>
        <w:t>8</w:t>
      </w:r>
      <w:r w:rsidRPr="004B7E39">
        <w:rPr>
          <w:rFonts w:ascii="Times New Roman" w:eastAsia="Times New Roman" w:hAnsi="Times New Roman" w:cs="Times New Roman"/>
          <w:b/>
          <w:sz w:val="24"/>
          <w:szCs w:val="24"/>
          <w:lang w:val="ro-MD"/>
        </w:rPr>
        <w:t xml:space="preserve"> 000 lei/MWh</w:t>
      </w:r>
      <w:r w:rsidRPr="00C46FEA">
        <w:rPr>
          <w:rFonts w:ascii="Times New Roman" w:eastAsia="Times New Roman" w:hAnsi="Times New Roman" w:cs="Times New Roman"/>
          <w:sz w:val="24"/>
          <w:szCs w:val="24"/>
          <w:lang w:val="ro-MD"/>
        </w:rPr>
        <w:t xml:space="preserve"> pe</w:t>
      </w:r>
      <w:r w:rsidRPr="00C232CF">
        <w:rPr>
          <w:rFonts w:ascii="Times New Roman" w:eastAsia="Times New Roman" w:hAnsi="Times New Roman" w:cs="Times New Roman"/>
          <w:sz w:val="24"/>
          <w:szCs w:val="24"/>
          <w:lang w:val="ro-MD"/>
        </w:rPr>
        <w:t>ntru energia electrică de echilibrare la reducere de putere (atât de tip aFRR cât și mFRR);</w:t>
      </w:r>
    </w:p>
    <w:p w14:paraId="7FC4FF21" w14:textId="3EE235C2" w:rsidR="00C232CF" w:rsidRDefault="00C232CF" w:rsidP="00FE2742">
      <w:pPr>
        <w:spacing w:after="0"/>
        <w:ind w:firstLine="567"/>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P</w:t>
      </w:r>
      <w:r w:rsidRPr="00C232CF">
        <w:rPr>
          <w:rFonts w:ascii="Times New Roman" w:eastAsia="Times New Roman" w:hAnsi="Times New Roman" w:cs="Times New Roman"/>
          <w:b/>
          <w:sz w:val="24"/>
          <w:szCs w:val="24"/>
          <w:lang w:val="ro-MD"/>
        </w:rPr>
        <w:t>entru decontarea dezechilibrelor părților responsabile pentru echilibrare</w:t>
      </w:r>
      <w:r>
        <w:rPr>
          <w:rFonts w:ascii="Times New Roman" w:eastAsia="Times New Roman" w:hAnsi="Times New Roman" w:cs="Times New Roman"/>
          <w:b/>
          <w:sz w:val="24"/>
          <w:szCs w:val="24"/>
          <w:lang w:val="ro-MD"/>
        </w:rPr>
        <w:t>:</w:t>
      </w:r>
    </w:p>
    <w:p w14:paraId="07352E85" w14:textId="77777777" w:rsidR="00257648" w:rsidRPr="00C232CF" w:rsidRDefault="00257648" w:rsidP="00FE2742">
      <w:pPr>
        <w:spacing w:after="0"/>
        <w:ind w:firstLine="567"/>
        <w:rPr>
          <w:rFonts w:ascii="Times New Roman" w:eastAsia="Times New Roman" w:hAnsi="Times New Roman" w:cs="Times New Roman"/>
          <w:b/>
          <w:sz w:val="24"/>
          <w:szCs w:val="24"/>
          <w:lang w:val="ro-MD"/>
        </w:rPr>
      </w:pPr>
    </w:p>
    <w:p w14:paraId="44590A98" w14:textId="1C888B70" w:rsidR="00C232CF" w:rsidRPr="00E07541" w:rsidRDefault="00F60CE8" w:rsidP="00F60CE8">
      <w:pPr>
        <w:pStyle w:val="ListParagraph"/>
        <w:numPr>
          <w:ilvl w:val="0"/>
          <w:numId w:val="48"/>
        </w:numPr>
        <w:spacing w:after="0"/>
        <w:jc w:val="both"/>
        <w:rPr>
          <w:rFonts w:ascii="Times New Roman" w:eastAsia="Times New Roman" w:hAnsi="Times New Roman" w:cs="Times New Roman"/>
          <w:sz w:val="24"/>
          <w:szCs w:val="24"/>
          <w:lang w:val="ro-MD"/>
        </w:rPr>
      </w:pPr>
      <w:r w:rsidRPr="00F60CE8">
        <w:rPr>
          <w:rFonts w:ascii="Times New Roman" w:eastAsia="Times New Roman" w:hAnsi="Times New Roman" w:cs="Times New Roman"/>
          <w:sz w:val="24"/>
          <w:szCs w:val="24"/>
          <w:lang w:val="ro-MD"/>
        </w:rPr>
        <w:t xml:space="preserve">Limita prețului pozitiv </w:t>
      </w:r>
      <w:r w:rsidR="00C232CF" w:rsidRPr="00E07541">
        <w:rPr>
          <w:rFonts w:ascii="Times New Roman" w:eastAsia="Times New Roman" w:hAnsi="Times New Roman" w:cs="Times New Roman"/>
          <w:b/>
          <w:sz w:val="24"/>
          <w:szCs w:val="24"/>
          <w:lang w:val="ro-MD"/>
        </w:rPr>
        <w:t>(+) 1</w:t>
      </w:r>
      <w:r w:rsidR="00620C38">
        <w:rPr>
          <w:rFonts w:ascii="Times New Roman" w:eastAsia="Times New Roman" w:hAnsi="Times New Roman" w:cs="Times New Roman"/>
          <w:b/>
          <w:sz w:val="24"/>
          <w:szCs w:val="24"/>
          <w:lang w:val="ro-MD"/>
        </w:rPr>
        <w:t>2</w:t>
      </w:r>
      <w:r w:rsidR="00C232CF" w:rsidRPr="00E07541">
        <w:rPr>
          <w:rFonts w:ascii="Times New Roman" w:eastAsia="Times New Roman" w:hAnsi="Times New Roman" w:cs="Times New Roman"/>
          <w:b/>
          <w:sz w:val="24"/>
          <w:szCs w:val="24"/>
          <w:lang w:val="ro-MD"/>
        </w:rPr>
        <w:t xml:space="preserve"> 000 lei/MWh</w:t>
      </w:r>
      <w:r w:rsidR="00C232CF" w:rsidRPr="00E07541">
        <w:rPr>
          <w:rFonts w:ascii="Times New Roman" w:eastAsia="Times New Roman" w:hAnsi="Times New Roman" w:cs="Times New Roman"/>
          <w:sz w:val="24"/>
          <w:szCs w:val="24"/>
          <w:lang w:val="ro-MD"/>
        </w:rPr>
        <w:t>;</w:t>
      </w:r>
    </w:p>
    <w:p w14:paraId="26F85172" w14:textId="44D0B4B5" w:rsidR="00C232CF" w:rsidRPr="00E07541" w:rsidRDefault="00F60CE8" w:rsidP="00FE2742">
      <w:pPr>
        <w:pStyle w:val="ListParagraph"/>
        <w:numPr>
          <w:ilvl w:val="0"/>
          <w:numId w:val="48"/>
        </w:numPr>
        <w:spacing w:after="0"/>
        <w:jc w:val="both"/>
        <w:rPr>
          <w:rFonts w:ascii="Times New Roman" w:eastAsia="Times New Roman" w:hAnsi="Times New Roman" w:cs="Times New Roman"/>
          <w:sz w:val="24"/>
          <w:szCs w:val="24"/>
          <w:lang w:val="ro-MD"/>
        </w:rPr>
      </w:pPr>
      <w:r w:rsidRPr="00F60CE8">
        <w:rPr>
          <w:rFonts w:ascii="Times New Roman" w:eastAsia="Times New Roman" w:hAnsi="Times New Roman" w:cs="Times New Roman"/>
          <w:sz w:val="24"/>
          <w:szCs w:val="24"/>
          <w:lang w:val="ro-MD"/>
        </w:rPr>
        <w:t xml:space="preserve">Limita prețului </w:t>
      </w:r>
      <w:r w:rsidR="00C232CF" w:rsidRPr="00E07541">
        <w:rPr>
          <w:rFonts w:ascii="Times New Roman" w:eastAsia="Times New Roman" w:hAnsi="Times New Roman" w:cs="Times New Roman"/>
          <w:sz w:val="24"/>
          <w:szCs w:val="24"/>
          <w:lang w:val="ro-MD"/>
        </w:rPr>
        <w:t xml:space="preserve">negativ </w:t>
      </w:r>
      <w:r w:rsidR="00C232CF" w:rsidRPr="00E07541">
        <w:rPr>
          <w:rFonts w:ascii="Times New Roman" w:eastAsia="Times New Roman" w:hAnsi="Times New Roman" w:cs="Times New Roman"/>
          <w:b/>
          <w:sz w:val="24"/>
          <w:szCs w:val="24"/>
          <w:lang w:val="ro-MD"/>
        </w:rPr>
        <w:t>(-) 1</w:t>
      </w:r>
      <w:r w:rsidR="00620C38">
        <w:rPr>
          <w:rFonts w:ascii="Times New Roman" w:eastAsia="Times New Roman" w:hAnsi="Times New Roman" w:cs="Times New Roman"/>
          <w:b/>
          <w:sz w:val="24"/>
          <w:szCs w:val="24"/>
          <w:lang w:val="ro-MD"/>
        </w:rPr>
        <w:t>2</w:t>
      </w:r>
      <w:r w:rsidR="00C232CF" w:rsidRPr="00E07541">
        <w:rPr>
          <w:rFonts w:ascii="Times New Roman" w:eastAsia="Times New Roman" w:hAnsi="Times New Roman" w:cs="Times New Roman"/>
          <w:b/>
          <w:sz w:val="24"/>
          <w:szCs w:val="24"/>
          <w:lang w:val="ro-MD"/>
        </w:rPr>
        <w:t xml:space="preserve"> 000 lei/MWh</w:t>
      </w:r>
      <w:r w:rsidR="00C232CF" w:rsidRPr="00E07541">
        <w:rPr>
          <w:rFonts w:ascii="Times New Roman" w:eastAsia="Times New Roman" w:hAnsi="Times New Roman" w:cs="Times New Roman"/>
          <w:sz w:val="24"/>
          <w:szCs w:val="24"/>
          <w:lang w:val="ro-MD"/>
        </w:rPr>
        <w:t>.</w:t>
      </w:r>
    </w:p>
    <w:p w14:paraId="27550AEF" w14:textId="77777777" w:rsidR="0080670C" w:rsidRDefault="00E746F8" w:rsidP="00257648">
      <w:pPr>
        <w:spacing w:before="120" w:after="0"/>
        <w:ind w:firstLine="567"/>
        <w:jc w:val="both"/>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Măsura</w:t>
      </w:r>
      <w:r w:rsidR="004E2BAC">
        <w:rPr>
          <w:rFonts w:ascii="Times New Roman" w:eastAsia="Times New Roman" w:hAnsi="Times New Roman" w:cs="Times New Roman"/>
          <w:sz w:val="24"/>
          <w:szCs w:val="24"/>
          <w:lang w:val="ro-MD"/>
        </w:rPr>
        <w:t xml:space="preserve"> respectivă</w:t>
      </w:r>
      <w:r w:rsidRPr="00C46FEA">
        <w:rPr>
          <w:rFonts w:ascii="Times New Roman" w:eastAsia="Times New Roman" w:hAnsi="Times New Roman" w:cs="Times New Roman"/>
          <w:sz w:val="24"/>
          <w:szCs w:val="24"/>
          <w:lang w:val="ro-MD"/>
        </w:rPr>
        <w:t xml:space="preserve"> urmărește limitarea riscului apariției unor prețuri extreme, menținând totodată stimulente economice suficiente pentru:</w:t>
      </w:r>
      <w:r w:rsidR="004B7E39">
        <w:rPr>
          <w:rFonts w:ascii="Times New Roman" w:eastAsia="Times New Roman" w:hAnsi="Times New Roman" w:cs="Times New Roman"/>
          <w:sz w:val="24"/>
          <w:szCs w:val="24"/>
          <w:lang w:val="ro-MD"/>
        </w:rPr>
        <w:t xml:space="preserve"> </w:t>
      </w:r>
      <w:r w:rsidRPr="00C46FEA">
        <w:rPr>
          <w:rFonts w:ascii="Times New Roman" w:eastAsia="Times New Roman" w:hAnsi="Times New Roman" w:cs="Times New Roman"/>
          <w:sz w:val="24"/>
          <w:szCs w:val="24"/>
          <w:lang w:val="ro-MD"/>
        </w:rPr>
        <w:t>participa</w:t>
      </w:r>
      <w:r w:rsidR="004B7E39">
        <w:rPr>
          <w:rFonts w:ascii="Times New Roman" w:eastAsia="Times New Roman" w:hAnsi="Times New Roman" w:cs="Times New Roman"/>
          <w:sz w:val="24"/>
          <w:szCs w:val="24"/>
          <w:lang w:val="ro-MD"/>
        </w:rPr>
        <w:t>rea resurselor de flexibilitate,</w:t>
      </w:r>
      <w:r w:rsidRPr="00C46FEA">
        <w:rPr>
          <w:rFonts w:ascii="Times New Roman" w:eastAsia="Times New Roman" w:hAnsi="Times New Roman" w:cs="Times New Roman"/>
          <w:sz w:val="24"/>
          <w:szCs w:val="24"/>
          <w:lang w:val="ro-MD"/>
        </w:rPr>
        <w:t xml:space="preserve"> îmbunătățirea progno</w:t>
      </w:r>
      <w:r w:rsidR="004B7E39">
        <w:rPr>
          <w:rFonts w:ascii="Times New Roman" w:eastAsia="Times New Roman" w:hAnsi="Times New Roman" w:cs="Times New Roman"/>
          <w:sz w:val="24"/>
          <w:szCs w:val="24"/>
          <w:lang w:val="ro-MD"/>
        </w:rPr>
        <w:t xml:space="preserve">zelor participanților la piață, reducerea dezechilibrelor, </w:t>
      </w:r>
      <w:r w:rsidRPr="00C46FEA">
        <w:rPr>
          <w:rFonts w:ascii="Times New Roman" w:eastAsia="Times New Roman" w:hAnsi="Times New Roman" w:cs="Times New Roman"/>
          <w:sz w:val="24"/>
          <w:szCs w:val="24"/>
          <w:lang w:val="ro-MD"/>
        </w:rPr>
        <w:t>dezvoltarea serviciilor de echilibrare. Totodată, plafonul aplicabil dezechilibrelor este stabilit la un nivel superior plafonului energiei de echilibrare, pentru a menține semnalul economic potrivit conform căruia dezechilibrele trebuie evitate de participanții la piață.</w:t>
      </w:r>
      <w:r w:rsidR="0080670C">
        <w:rPr>
          <w:rFonts w:ascii="Times New Roman" w:eastAsia="Times New Roman" w:hAnsi="Times New Roman" w:cs="Times New Roman"/>
          <w:sz w:val="24"/>
          <w:szCs w:val="24"/>
          <w:lang w:val="ro-MD"/>
        </w:rPr>
        <w:t xml:space="preserve"> </w:t>
      </w:r>
    </w:p>
    <w:p w14:paraId="50F2EBCC" w14:textId="4005C5BE" w:rsidR="00E746F8" w:rsidRPr="00C46FEA" w:rsidRDefault="0080670C" w:rsidP="00257648">
      <w:pPr>
        <w:spacing w:before="120" w:after="0"/>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Măsura respectivă urmează a fi aplicată de OST, până la constatarea de către Agenție în cadrul raportului privind piețele de energie electrică prev</w:t>
      </w:r>
      <w:r w:rsidR="00FA56BB">
        <w:rPr>
          <w:rFonts w:ascii="Times New Roman" w:eastAsia="Times New Roman" w:hAnsi="Times New Roman" w:cs="Times New Roman"/>
          <w:sz w:val="24"/>
          <w:szCs w:val="24"/>
          <w:lang w:val="ro-MD"/>
        </w:rPr>
        <w:t>ăzut la</w:t>
      </w:r>
      <w:r>
        <w:rPr>
          <w:rFonts w:ascii="Times New Roman" w:eastAsia="Times New Roman" w:hAnsi="Times New Roman" w:cs="Times New Roman"/>
          <w:sz w:val="24"/>
          <w:szCs w:val="24"/>
          <w:lang w:val="ro-MD"/>
        </w:rPr>
        <w:t xml:space="preserve"> art. 101 alin. (8) din Legea 164/2025, a unui nivel suficient de lichiditate a piețelor angro, astfel că aceasta urmează să reprezintă o intervenție cu caracter temporar, până la atingerea unui nivel </w:t>
      </w:r>
      <w:r w:rsidR="00FA56BB">
        <w:rPr>
          <w:rFonts w:ascii="Times New Roman" w:eastAsia="Times New Roman" w:hAnsi="Times New Roman" w:cs="Times New Roman"/>
          <w:sz w:val="24"/>
          <w:szCs w:val="24"/>
          <w:lang w:val="ro-MD"/>
        </w:rPr>
        <w:t>adecvat</w:t>
      </w:r>
      <w:r>
        <w:rPr>
          <w:rFonts w:ascii="Times New Roman" w:eastAsia="Times New Roman" w:hAnsi="Times New Roman" w:cs="Times New Roman"/>
          <w:sz w:val="24"/>
          <w:szCs w:val="24"/>
          <w:lang w:val="ro-MD"/>
        </w:rPr>
        <w:t xml:space="preserve"> de dezvoltare a piețelor angro de energie electrică din Republica Moldova.</w:t>
      </w:r>
    </w:p>
    <w:p w14:paraId="06D4654E" w14:textId="6139EBF0" w:rsidR="004E6491" w:rsidRPr="009D16BE" w:rsidRDefault="0080670C" w:rsidP="00257648">
      <w:pPr>
        <w:spacing w:before="120" w:after="0"/>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Cu privire la n</w:t>
      </w:r>
      <w:r w:rsidR="00D618FE" w:rsidRPr="00C46FEA">
        <w:rPr>
          <w:rFonts w:ascii="Times New Roman" w:eastAsia="Times New Roman" w:hAnsi="Times New Roman" w:cs="Times New Roman"/>
          <w:sz w:val="24"/>
          <w:szCs w:val="24"/>
          <w:lang w:val="ro-MD"/>
        </w:rPr>
        <w:t>ivelul plafonului de ±</w:t>
      </w:r>
      <w:r w:rsidR="00620C38">
        <w:rPr>
          <w:rFonts w:ascii="Times New Roman" w:eastAsia="Times New Roman" w:hAnsi="Times New Roman" w:cs="Times New Roman"/>
          <w:sz w:val="24"/>
          <w:szCs w:val="24"/>
          <w:lang w:val="ro-MD"/>
        </w:rPr>
        <w:t>8</w:t>
      </w:r>
      <w:r w:rsidR="00D618FE" w:rsidRPr="00C46FEA">
        <w:rPr>
          <w:rFonts w:ascii="Times New Roman" w:eastAsia="Times New Roman" w:hAnsi="Times New Roman" w:cs="Times New Roman"/>
          <w:sz w:val="24"/>
          <w:szCs w:val="24"/>
          <w:lang w:val="ro-MD"/>
        </w:rPr>
        <w:t>.000 lei/MWh (aproximativ ±</w:t>
      </w:r>
      <w:r w:rsidR="00620C38">
        <w:rPr>
          <w:rFonts w:ascii="Times New Roman" w:eastAsia="Times New Roman" w:hAnsi="Times New Roman" w:cs="Times New Roman"/>
          <w:sz w:val="24"/>
          <w:szCs w:val="24"/>
          <w:lang w:val="ro-MD"/>
        </w:rPr>
        <w:t>4</w:t>
      </w:r>
      <w:r w:rsidR="00D618FE" w:rsidRPr="00C46FEA">
        <w:rPr>
          <w:rFonts w:ascii="Times New Roman" w:eastAsia="Times New Roman" w:hAnsi="Times New Roman" w:cs="Times New Roman"/>
          <w:sz w:val="24"/>
          <w:szCs w:val="24"/>
          <w:lang w:val="ro-MD"/>
        </w:rPr>
        <w:t>00 EUR/MWh)</w:t>
      </w:r>
      <w:r>
        <w:rPr>
          <w:rFonts w:ascii="Times New Roman" w:eastAsia="Times New Roman" w:hAnsi="Times New Roman" w:cs="Times New Roman"/>
          <w:sz w:val="24"/>
          <w:szCs w:val="24"/>
          <w:lang w:val="ro-MD"/>
        </w:rPr>
        <w:t xml:space="preserve"> este de menționat că acesta</w:t>
      </w:r>
      <w:r w:rsidR="00D618FE" w:rsidRPr="00C46FEA">
        <w:rPr>
          <w:rFonts w:ascii="Times New Roman" w:eastAsia="Times New Roman" w:hAnsi="Times New Roman" w:cs="Times New Roman"/>
          <w:sz w:val="24"/>
          <w:szCs w:val="24"/>
          <w:lang w:val="ro-MD"/>
        </w:rPr>
        <w:t xml:space="preserve"> a fost stabilit ținând cont atât de specificul pieței energiei electrice din Republica Moldova, </w:t>
      </w:r>
      <w:r w:rsidR="009D16BE">
        <w:rPr>
          <w:rFonts w:ascii="Times New Roman" w:eastAsia="Times New Roman" w:hAnsi="Times New Roman" w:cs="Times New Roman"/>
          <w:sz w:val="24"/>
          <w:szCs w:val="24"/>
          <w:lang w:val="ro-MD"/>
        </w:rPr>
        <w:t xml:space="preserve">depășind </w:t>
      </w:r>
      <w:r w:rsidR="009D16BE" w:rsidRPr="009D16BE">
        <w:rPr>
          <w:rFonts w:ascii="Times New Roman" w:eastAsia="Times New Roman" w:hAnsi="Times New Roman" w:cs="Times New Roman"/>
          <w:sz w:val="24"/>
          <w:szCs w:val="24"/>
          <w:lang w:val="ro-MD"/>
        </w:rPr>
        <w:t>semnificativ intervalele istorice uzuale ale prețurilor energiei electrice din regiune și permite reflectarea situațiilor reale de deficit de flexibilitate.</w:t>
      </w:r>
      <w:r w:rsidR="009D16BE">
        <w:rPr>
          <w:rFonts w:ascii="Times New Roman" w:eastAsia="Times New Roman" w:hAnsi="Times New Roman" w:cs="Times New Roman"/>
          <w:sz w:val="24"/>
          <w:szCs w:val="24"/>
          <w:lang w:val="ro-MD"/>
        </w:rPr>
        <w:t xml:space="preserve"> Astfel, î</w:t>
      </w:r>
      <w:r w:rsidR="009D16BE" w:rsidRPr="009D16BE">
        <w:rPr>
          <w:rFonts w:ascii="Times New Roman" w:eastAsia="Times New Roman" w:hAnsi="Times New Roman" w:cs="Times New Roman"/>
          <w:sz w:val="24"/>
          <w:szCs w:val="24"/>
          <w:lang w:val="ro-MD"/>
        </w:rPr>
        <w:t>n E</w:t>
      </w:r>
      <w:r w:rsidR="009D16BE">
        <w:rPr>
          <w:rFonts w:ascii="Times New Roman" w:eastAsia="Times New Roman" w:hAnsi="Times New Roman" w:cs="Times New Roman"/>
          <w:sz w:val="24"/>
          <w:szCs w:val="24"/>
          <w:lang w:val="ro-MD"/>
        </w:rPr>
        <w:t>uropa de Sud-Est prețurile pentru energia electrică de echilibrare</w:t>
      </w:r>
      <w:r w:rsidR="009D16BE" w:rsidRPr="009D16BE">
        <w:rPr>
          <w:rFonts w:ascii="Times New Roman" w:eastAsia="Times New Roman" w:hAnsi="Times New Roman" w:cs="Times New Roman"/>
          <w:sz w:val="24"/>
          <w:szCs w:val="24"/>
          <w:lang w:val="ro-MD"/>
        </w:rPr>
        <w:t xml:space="preserve"> în c</w:t>
      </w:r>
      <w:r w:rsidR="009D16BE">
        <w:rPr>
          <w:rFonts w:ascii="Times New Roman" w:eastAsia="Times New Roman" w:hAnsi="Times New Roman" w:cs="Times New Roman"/>
          <w:sz w:val="24"/>
          <w:szCs w:val="24"/>
          <w:lang w:val="ro-MD"/>
        </w:rPr>
        <w:t xml:space="preserve">ondiții tensionate </w:t>
      </w:r>
      <w:r w:rsidR="001223C8">
        <w:rPr>
          <w:rFonts w:ascii="Times New Roman" w:eastAsia="Times New Roman" w:hAnsi="Times New Roman" w:cs="Times New Roman"/>
          <w:sz w:val="24"/>
          <w:szCs w:val="24"/>
          <w:lang w:val="ro-MD"/>
        </w:rPr>
        <w:t>se situează</w:t>
      </w:r>
      <w:r w:rsidR="009D16BE">
        <w:rPr>
          <w:rFonts w:ascii="Times New Roman" w:eastAsia="Times New Roman" w:hAnsi="Times New Roman" w:cs="Times New Roman"/>
          <w:sz w:val="24"/>
          <w:szCs w:val="24"/>
          <w:lang w:val="ro-MD"/>
        </w:rPr>
        <w:t xml:space="preserve"> deseori în diapazonul 150–300 EUR/MWh, iar uneori, în perioade de cerere mare de capacități flexibile pot atinge valori de </w:t>
      </w:r>
      <w:r w:rsidR="009D16BE" w:rsidRPr="009D16BE">
        <w:rPr>
          <w:rFonts w:ascii="Times New Roman" w:eastAsia="Times New Roman" w:hAnsi="Times New Roman" w:cs="Times New Roman"/>
          <w:sz w:val="24"/>
          <w:szCs w:val="24"/>
          <w:lang w:val="ro-MD"/>
        </w:rPr>
        <w:t>400–500 EUR/MWh</w:t>
      </w:r>
      <w:r w:rsidR="009D16BE">
        <w:rPr>
          <w:rStyle w:val="FootnoteReference"/>
          <w:rFonts w:ascii="Times New Roman" w:eastAsia="Times New Roman" w:hAnsi="Times New Roman" w:cs="Times New Roman"/>
          <w:sz w:val="24"/>
          <w:szCs w:val="24"/>
          <w:lang w:val="ro-MD"/>
        </w:rPr>
        <w:footnoteReference w:id="1"/>
      </w:r>
      <w:r w:rsidR="00532DCD">
        <w:rPr>
          <w:rFonts w:ascii="Times New Roman" w:eastAsia="Times New Roman" w:hAnsi="Times New Roman" w:cs="Times New Roman"/>
          <w:sz w:val="24"/>
          <w:szCs w:val="24"/>
          <w:lang w:val="ro-MD"/>
        </w:rPr>
        <w:t>.</w:t>
      </w:r>
    </w:p>
    <w:p w14:paraId="09AC12E3" w14:textId="28F92C05" w:rsidR="00D618FE" w:rsidRDefault="001223C8" w:rsidP="00257648">
      <w:pPr>
        <w:spacing w:before="120" w:after="0"/>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Astfel, a</w:t>
      </w:r>
      <w:r w:rsidR="00D618FE" w:rsidRPr="00C46FEA">
        <w:rPr>
          <w:rFonts w:ascii="Times New Roman" w:eastAsia="Times New Roman" w:hAnsi="Times New Roman" w:cs="Times New Roman"/>
          <w:sz w:val="24"/>
          <w:szCs w:val="24"/>
          <w:lang w:val="ro-MD"/>
        </w:rPr>
        <w:t>vând în vedere gradul actual de dezvoltare al pieței din Republica Moldova, nivelul propus de ±</w:t>
      </w:r>
      <w:r w:rsidR="00620C38">
        <w:rPr>
          <w:rFonts w:ascii="Times New Roman" w:eastAsia="Times New Roman" w:hAnsi="Times New Roman" w:cs="Times New Roman"/>
          <w:sz w:val="24"/>
          <w:szCs w:val="24"/>
          <w:lang w:val="ro-MD"/>
        </w:rPr>
        <w:t>8</w:t>
      </w:r>
      <w:r w:rsidR="00D618FE" w:rsidRPr="00C46FEA">
        <w:rPr>
          <w:rFonts w:ascii="Times New Roman" w:eastAsia="Times New Roman" w:hAnsi="Times New Roman" w:cs="Times New Roman"/>
          <w:sz w:val="24"/>
          <w:szCs w:val="24"/>
          <w:lang w:val="ro-MD"/>
        </w:rPr>
        <w:t>.000 lei/MWh este considerat proporțional și adecvat pentru:</w:t>
      </w:r>
      <w:r>
        <w:rPr>
          <w:rFonts w:ascii="Times New Roman" w:eastAsia="Times New Roman" w:hAnsi="Times New Roman" w:cs="Times New Roman"/>
          <w:sz w:val="24"/>
          <w:szCs w:val="24"/>
          <w:lang w:val="ro-MD"/>
        </w:rPr>
        <w:t xml:space="preserve"> </w:t>
      </w:r>
      <w:r w:rsidR="00D618FE" w:rsidRPr="00C46FEA">
        <w:rPr>
          <w:rFonts w:ascii="Times New Roman" w:eastAsia="Times New Roman" w:hAnsi="Times New Roman" w:cs="Times New Roman"/>
          <w:sz w:val="24"/>
          <w:szCs w:val="24"/>
          <w:lang w:val="ro-MD"/>
        </w:rPr>
        <w:t>menținerea semnalelor economice priv</w:t>
      </w:r>
      <w:r>
        <w:rPr>
          <w:rFonts w:ascii="Times New Roman" w:eastAsia="Times New Roman" w:hAnsi="Times New Roman" w:cs="Times New Roman"/>
          <w:sz w:val="24"/>
          <w:szCs w:val="24"/>
          <w:lang w:val="ro-MD"/>
        </w:rPr>
        <w:t xml:space="preserve">ind deficitul de flexibilitate, </w:t>
      </w:r>
      <w:r w:rsidR="00D618FE" w:rsidRPr="00C46FEA">
        <w:rPr>
          <w:rFonts w:ascii="Times New Roman" w:eastAsia="Times New Roman" w:hAnsi="Times New Roman" w:cs="Times New Roman"/>
          <w:sz w:val="24"/>
          <w:szCs w:val="24"/>
          <w:lang w:val="ro-MD"/>
        </w:rPr>
        <w:t>stimularea particip</w:t>
      </w:r>
      <w:r>
        <w:rPr>
          <w:rFonts w:ascii="Times New Roman" w:eastAsia="Times New Roman" w:hAnsi="Times New Roman" w:cs="Times New Roman"/>
          <w:sz w:val="24"/>
          <w:szCs w:val="24"/>
          <w:lang w:val="ro-MD"/>
        </w:rPr>
        <w:t xml:space="preserve">ării resurselor de echilibrare, </w:t>
      </w:r>
      <w:r w:rsidR="00D618FE" w:rsidRPr="00C46FEA">
        <w:rPr>
          <w:rFonts w:ascii="Times New Roman" w:eastAsia="Times New Roman" w:hAnsi="Times New Roman" w:cs="Times New Roman"/>
          <w:sz w:val="24"/>
          <w:szCs w:val="24"/>
          <w:lang w:val="ro-MD"/>
        </w:rPr>
        <w:t>limitarea riscului a</w:t>
      </w:r>
      <w:r>
        <w:rPr>
          <w:rFonts w:ascii="Times New Roman" w:eastAsia="Times New Roman" w:hAnsi="Times New Roman" w:cs="Times New Roman"/>
          <w:sz w:val="24"/>
          <w:szCs w:val="24"/>
          <w:lang w:val="ro-MD"/>
        </w:rPr>
        <w:t xml:space="preserve">pariției unor prețuri excesive, </w:t>
      </w:r>
      <w:r w:rsidR="00D618FE" w:rsidRPr="00C46FEA">
        <w:rPr>
          <w:rFonts w:ascii="Times New Roman" w:eastAsia="Times New Roman" w:hAnsi="Times New Roman" w:cs="Times New Roman"/>
          <w:sz w:val="24"/>
          <w:szCs w:val="24"/>
          <w:lang w:val="ro-MD"/>
        </w:rPr>
        <w:t>reducerea expunerii financiare disproporționate a participanților la piață în etapa inițială de dezv</w:t>
      </w:r>
      <w:r>
        <w:rPr>
          <w:rFonts w:ascii="Times New Roman" w:eastAsia="Times New Roman" w:hAnsi="Times New Roman" w:cs="Times New Roman"/>
          <w:sz w:val="24"/>
          <w:szCs w:val="24"/>
          <w:lang w:val="ro-MD"/>
        </w:rPr>
        <w:t>oltare a pieței de echilibrare.</w:t>
      </w:r>
    </w:p>
    <w:p w14:paraId="5AEE0B53" w14:textId="641AF72F" w:rsidR="004E6491" w:rsidRDefault="004E6491" w:rsidP="00257648">
      <w:pPr>
        <w:spacing w:before="120" w:after="0"/>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lastRenderedPageBreak/>
        <w:t>Concomitent, cu privire la stabilirea prețurilor maxime pentru dezechilibre</w:t>
      </w:r>
      <w:r w:rsidR="00FA56BB">
        <w:rPr>
          <w:rFonts w:ascii="Times New Roman" w:eastAsia="Times New Roman" w:hAnsi="Times New Roman" w:cs="Times New Roman"/>
          <w:sz w:val="24"/>
          <w:szCs w:val="24"/>
          <w:lang w:val="ro-MD"/>
        </w:rPr>
        <w:t>le decontate părților responsabile pentru echilibrare</w:t>
      </w:r>
      <w:r>
        <w:rPr>
          <w:rFonts w:ascii="Times New Roman" w:eastAsia="Times New Roman" w:hAnsi="Times New Roman" w:cs="Times New Roman"/>
          <w:sz w:val="24"/>
          <w:szCs w:val="24"/>
          <w:lang w:val="ro-MD"/>
        </w:rPr>
        <w:t xml:space="preserve"> la nivel de </w:t>
      </w:r>
      <w:r w:rsidRPr="006A3412">
        <w:rPr>
          <w:rFonts w:ascii="Times New Roman" w:eastAsia="Times New Roman" w:hAnsi="Times New Roman" w:cs="Times New Roman"/>
          <w:b/>
          <w:sz w:val="24"/>
          <w:szCs w:val="24"/>
          <w:lang w:val="ro-MD"/>
        </w:rPr>
        <w:t>± 1</w:t>
      </w:r>
      <w:r w:rsidR="00620C38">
        <w:rPr>
          <w:rFonts w:ascii="Times New Roman" w:eastAsia="Times New Roman" w:hAnsi="Times New Roman" w:cs="Times New Roman"/>
          <w:b/>
          <w:sz w:val="24"/>
          <w:szCs w:val="24"/>
          <w:lang w:val="ro-MD"/>
        </w:rPr>
        <w:t>2</w:t>
      </w:r>
      <w:r w:rsidRPr="006A3412">
        <w:rPr>
          <w:rFonts w:ascii="Times New Roman" w:eastAsia="Times New Roman" w:hAnsi="Times New Roman" w:cs="Times New Roman"/>
          <w:b/>
          <w:sz w:val="24"/>
          <w:szCs w:val="24"/>
          <w:lang w:val="ro-MD"/>
        </w:rPr>
        <w:t>000 lei/MWh</w:t>
      </w:r>
      <w:r>
        <w:rPr>
          <w:rFonts w:ascii="Times New Roman" w:eastAsia="Times New Roman" w:hAnsi="Times New Roman" w:cs="Times New Roman"/>
          <w:sz w:val="24"/>
          <w:szCs w:val="24"/>
          <w:lang w:val="ro-MD"/>
        </w:rPr>
        <w:t xml:space="preserve">, este de menționat că </w:t>
      </w:r>
      <w:r w:rsidR="006A3412">
        <w:rPr>
          <w:rFonts w:ascii="Times New Roman" w:eastAsia="Times New Roman" w:hAnsi="Times New Roman" w:cs="Times New Roman"/>
          <w:sz w:val="24"/>
          <w:szCs w:val="24"/>
          <w:lang w:val="ro-MD"/>
        </w:rPr>
        <w:t>acest fapt</w:t>
      </w:r>
      <w:r>
        <w:rPr>
          <w:rFonts w:ascii="Times New Roman" w:eastAsia="Times New Roman" w:hAnsi="Times New Roman" w:cs="Times New Roman"/>
          <w:sz w:val="24"/>
          <w:szCs w:val="24"/>
          <w:lang w:val="ro-MD"/>
        </w:rPr>
        <w:t xml:space="preserve"> este în concordanță cu principiile pan europene care prevăd că pentru a garanta </w:t>
      </w:r>
      <w:r w:rsidR="006A3412">
        <w:rPr>
          <w:rFonts w:ascii="Times New Roman" w:eastAsia="Times New Roman" w:hAnsi="Times New Roman" w:cs="Times New Roman"/>
          <w:sz w:val="24"/>
          <w:szCs w:val="24"/>
          <w:lang w:val="ro-MD"/>
        </w:rPr>
        <w:t>un comportament corect al participanților la piață prețul dezechilibrelor urmează a fi mai mare decât prețul pentru energia electrică de echilibrare activată de OST. În acest sens, sunt relevante și prevederile</w:t>
      </w:r>
      <w:r w:rsidR="00A9376A">
        <w:rPr>
          <w:rFonts w:ascii="Times New Roman" w:eastAsia="Times New Roman" w:hAnsi="Times New Roman" w:cs="Times New Roman"/>
          <w:sz w:val="24"/>
          <w:szCs w:val="24"/>
          <w:lang w:val="ro-MD"/>
        </w:rPr>
        <w:t xml:space="preserve"> pct. 226 din </w:t>
      </w:r>
      <w:r w:rsidR="00A9376A" w:rsidRPr="00A9376A">
        <w:rPr>
          <w:rFonts w:ascii="Times New Roman" w:eastAsia="Times New Roman" w:hAnsi="Times New Roman" w:cs="Times New Roman"/>
          <w:sz w:val="24"/>
          <w:szCs w:val="24"/>
          <w:lang w:val="ro-MD"/>
        </w:rPr>
        <w:t>Regulamentul privind clauzele și condițiile pentru părțile responsabile pentru echilibrare aprobat prin Hotărârea Consiliului de administrație al Agenției Naționale pentru Reglementare în Energetică nr. 853/2025</w:t>
      </w:r>
      <w:r w:rsidR="00A9376A">
        <w:rPr>
          <w:rFonts w:ascii="Times New Roman" w:eastAsia="Times New Roman" w:hAnsi="Times New Roman" w:cs="Times New Roman"/>
          <w:sz w:val="24"/>
          <w:szCs w:val="24"/>
          <w:lang w:val="ro-MD"/>
        </w:rPr>
        <w:t xml:space="preserve"> care stipulează că: „226.</w:t>
      </w:r>
      <w:r w:rsidR="00B23F65">
        <w:rPr>
          <w:rFonts w:ascii="Times New Roman" w:eastAsia="Times New Roman" w:hAnsi="Times New Roman" w:cs="Times New Roman"/>
          <w:sz w:val="24"/>
          <w:szCs w:val="24"/>
          <w:lang w:val="ro-MD"/>
        </w:rPr>
        <w:t xml:space="preserve"> </w:t>
      </w:r>
      <w:r w:rsidR="00A9376A" w:rsidRPr="00A9376A">
        <w:rPr>
          <w:rFonts w:ascii="Times New Roman" w:eastAsia="Times New Roman" w:hAnsi="Times New Roman" w:cs="Times New Roman"/>
          <w:sz w:val="24"/>
          <w:szCs w:val="24"/>
          <w:lang w:val="ro-MD"/>
        </w:rPr>
        <w:t xml:space="preserve">ANRE poate stabili o limită de preț pozitiv și o limită de preț negativ pentru prețul de dezechilibru. În cazul în care limitele respective au fost stabilite de ANRE și în intervalele de decontare în care prețul de dezechilibru va depăși limitele stabilite de ANRE, OST va limita prețul de dezechilibru la valorile limite stabilite. </w:t>
      </w:r>
      <w:r w:rsidR="00A9376A" w:rsidRPr="00B23F65">
        <w:rPr>
          <w:rFonts w:ascii="Times New Roman" w:eastAsia="Times New Roman" w:hAnsi="Times New Roman" w:cs="Times New Roman"/>
          <w:i/>
          <w:sz w:val="24"/>
          <w:szCs w:val="24"/>
          <w:u w:val="single"/>
          <w:lang w:val="ro-MD"/>
        </w:rPr>
        <w:t>Valoarea limită pentru preț pozitiv nu poate fi mai mică decât valoarea limită pentru ofertele la creștere pe piața energiei de echilibrare, iar valoarea limită pentru preț negativ nu poate fi mai mare decât valoarea limită pentru ofertele la reducere pe piața energiei de echilibrare.”</w:t>
      </w:r>
    </w:p>
    <w:p w14:paraId="78B47703" w14:textId="36422B42" w:rsidR="005372B3" w:rsidRPr="005342F8" w:rsidRDefault="005342F8" w:rsidP="00257648">
      <w:pPr>
        <w:spacing w:before="120" w:after="0"/>
        <w:ind w:firstLine="567"/>
        <w:jc w:val="both"/>
        <w:rPr>
          <w:rFonts w:ascii="Times New Roman" w:hAnsi="Times New Roman" w:cs="Times New Roman"/>
          <w:bCs/>
          <w:sz w:val="24"/>
          <w:szCs w:val="24"/>
          <w:lang w:val="en-US"/>
        </w:rPr>
      </w:pPr>
      <w:r>
        <w:rPr>
          <w:rFonts w:ascii="Times New Roman" w:eastAsia="Times New Roman" w:hAnsi="Times New Roman" w:cs="Times New Roman"/>
          <w:sz w:val="24"/>
          <w:szCs w:val="24"/>
          <w:lang w:val="ro-MD"/>
        </w:rPr>
        <w:t>Respectiv, în vederea</w:t>
      </w:r>
      <w:r w:rsidRPr="005342F8">
        <w:rPr>
          <w:rFonts w:ascii="Times New Roman" w:eastAsia="Times New Roman" w:hAnsi="Times New Roman" w:cs="Times New Roman"/>
          <w:sz w:val="24"/>
          <w:szCs w:val="24"/>
          <w:lang w:val="ro-MD"/>
        </w:rPr>
        <w:t xml:space="preserve"> asigurării unei funcționări stabile, predictibile și echilibrate a pieței energiei electrice în etapa inițială de implementare a mecanismelor moderne de e</w:t>
      </w:r>
      <w:r>
        <w:rPr>
          <w:rFonts w:ascii="Times New Roman" w:eastAsia="Times New Roman" w:hAnsi="Times New Roman" w:cs="Times New Roman"/>
          <w:sz w:val="24"/>
          <w:szCs w:val="24"/>
          <w:lang w:val="ro-MD"/>
        </w:rPr>
        <w:t xml:space="preserve">chilibrare în Republica Moldova, considerând </w:t>
      </w:r>
      <w:r w:rsidRPr="005342F8">
        <w:rPr>
          <w:rFonts w:ascii="Times New Roman" w:eastAsia="Times New Roman" w:hAnsi="Times New Roman" w:cs="Times New Roman"/>
          <w:sz w:val="24"/>
          <w:szCs w:val="24"/>
          <w:lang w:val="ro-MD"/>
        </w:rPr>
        <w:t>caracter</w:t>
      </w:r>
      <w:r w:rsidR="00EA5843">
        <w:rPr>
          <w:rFonts w:ascii="Times New Roman" w:eastAsia="Times New Roman" w:hAnsi="Times New Roman" w:cs="Times New Roman"/>
          <w:sz w:val="24"/>
          <w:szCs w:val="24"/>
          <w:lang w:val="ro-MD"/>
        </w:rPr>
        <w:t>ul</w:t>
      </w:r>
      <w:r w:rsidRPr="005342F8">
        <w:rPr>
          <w:rFonts w:ascii="Times New Roman" w:eastAsia="Times New Roman" w:hAnsi="Times New Roman" w:cs="Times New Roman"/>
          <w:sz w:val="24"/>
          <w:szCs w:val="24"/>
          <w:lang w:val="ro-MD"/>
        </w:rPr>
        <w:t xml:space="preserve"> proporțional, temporar și justificat</w:t>
      </w:r>
      <w:r w:rsidR="00EA5843">
        <w:rPr>
          <w:rFonts w:ascii="Times New Roman" w:eastAsia="Times New Roman" w:hAnsi="Times New Roman" w:cs="Times New Roman"/>
          <w:sz w:val="24"/>
          <w:szCs w:val="24"/>
          <w:lang w:val="ro-MD"/>
        </w:rPr>
        <w:t xml:space="preserve"> al plafonării</w:t>
      </w:r>
      <w:r w:rsidRPr="005342F8">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contribuția</w:t>
      </w:r>
      <w:r w:rsidRPr="005342F8">
        <w:rPr>
          <w:rFonts w:ascii="Times New Roman" w:eastAsia="Times New Roman" w:hAnsi="Times New Roman" w:cs="Times New Roman"/>
          <w:sz w:val="24"/>
          <w:szCs w:val="24"/>
          <w:lang w:val="ro-MD"/>
        </w:rPr>
        <w:t xml:space="preserve"> la consolidarea stabilității pieței energiei electrice, la limitarea riscurilor sistemice și la crearea condițiilor necesare pentru dezvoltarea graduală și sustenabilă a mecanismelor de echilibrare în </w:t>
      </w:r>
      <w:r w:rsidRPr="005342F8">
        <w:rPr>
          <w:rFonts w:ascii="Times New Roman" w:eastAsia="Times New Roman" w:hAnsi="Times New Roman" w:cs="Times New Roman"/>
          <w:sz w:val="24"/>
          <w:szCs w:val="24"/>
        </w:rPr>
        <w:t>conformitate cu principiile și</w:t>
      </w:r>
      <w:r w:rsidR="00EA5843" w:rsidRPr="008F434D">
        <w:rPr>
          <w:rFonts w:ascii="Times New Roman" w:eastAsia="Times New Roman" w:hAnsi="Times New Roman" w:cs="Times New Roman"/>
          <w:sz w:val="24"/>
          <w:szCs w:val="24"/>
        </w:rPr>
        <w:t xml:space="preserve"> practicile europene în domeniu, se propune Consiliului de adm</w:t>
      </w:r>
      <w:r w:rsidR="00FA56BB">
        <w:rPr>
          <w:rFonts w:ascii="Times New Roman" w:eastAsia="Times New Roman" w:hAnsi="Times New Roman" w:cs="Times New Roman"/>
          <w:sz w:val="24"/>
          <w:szCs w:val="24"/>
        </w:rPr>
        <w:t>inistrație al ANRE de a aproba</w:t>
      </w:r>
      <w:r w:rsidR="00257648">
        <w:rPr>
          <w:rFonts w:ascii="Times New Roman" w:eastAsia="Times New Roman" w:hAnsi="Times New Roman" w:cs="Times New Roman"/>
          <w:sz w:val="24"/>
          <w:szCs w:val="24"/>
        </w:rPr>
        <w:t xml:space="preserve"> proiectul de</w:t>
      </w:r>
      <w:r w:rsidR="00FA56BB">
        <w:rPr>
          <w:rFonts w:ascii="Times New Roman" w:eastAsia="Times New Roman" w:hAnsi="Times New Roman" w:cs="Times New Roman"/>
          <w:sz w:val="24"/>
          <w:szCs w:val="24"/>
        </w:rPr>
        <w:t xml:space="preserve"> </w:t>
      </w:r>
      <w:r w:rsidR="00257648">
        <w:rPr>
          <w:rFonts w:ascii="Times New Roman" w:eastAsia="Times New Roman" w:hAnsi="Times New Roman" w:cs="Times New Roman"/>
          <w:sz w:val="24"/>
          <w:szCs w:val="24"/>
        </w:rPr>
        <w:t>Hotărâre</w:t>
      </w:r>
      <w:r w:rsidR="00EA5843" w:rsidRPr="008F434D">
        <w:rPr>
          <w:rFonts w:ascii="Times New Roman" w:hAnsi="Times New Roman" w:cs="Times New Roman"/>
          <w:bCs/>
          <w:sz w:val="24"/>
          <w:szCs w:val="24"/>
        </w:rPr>
        <w:t xml:space="preserve"> </w:t>
      </w:r>
      <w:r w:rsidR="00257648" w:rsidRPr="00257648">
        <w:rPr>
          <w:rFonts w:ascii="Times New Roman" w:hAnsi="Times New Roman" w:cs="Times New Roman"/>
          <w:bCs/>
          <w:sz w:val="24"/>
          <w:szCs w:val="24"/>
        </w:rPr>
        <w:t>cu privire la stabilirea mecanismului de normalizare a prețurilor pe piața energiei electrice de echilibrare și pentru decontarea dezechilibrelor</w:t>
      </w:r>
      <w:r w:rsidR="00EA5843" w:rsidRPr="008F434D">
        <w:rPr>
          <w:rFonts w:ascii="Times New Roman" w:hAnsi="Times New Roman" w:cs="Times New Roman"/>
          <w:bCs/>
          <w:sz w:val="24"/>
          <w:szCs w:val="24"/>
        </w:rPr>
        <w:t>.</w:t>
      </w:r>
    </w:p>
    <w:p w14:paraId="62791A8F" w14:textId="5AFCCE64" w:rsidR="009074C3" w:rsidRPr="00C46FEA" w:rsidRDefault="009074C3" w:rsidP="00257648">
      <w:pPr>
        <w:pStyle w:val="ListParagraph"/>
        <w:tabs>
          <w:tab w:val="left" w:pos="3261"/>
          <w:tab w:val="left" w:pos="3828"/>
        </w:tabs>
        <w:spacing w:before="120" w:after="0"/>
        <w:ind w:left="0" w:firstLine="567"/>
        <w:contextualSpacing w:val="0"/>
        <w:jc w:val="both"/>
        <w:rPr>
          <w:rFonts w:ascii="Times New Roman" w:hAnsi="Times New Roman" w:cs="Times New Roman"/>
          <w:bCs/>
          <w:sz w:val="24"/>
          <w:szCs w:val="24"/>
          <w:lang w:val="ro-MD"/>
        </w:rPr>
      </w:pPr>
    </w:p>
    <w:p w14:paraId="50FA7572" w14:textId="77777777" w:rsidR="00DF57A2" w:rsidRPr="00C46FEA" w:rsidRDefault="00DF57A2" w:rsidP="00FE2742">
      <w:pPr>
        <w:pStyle w:val="ListParagraph"/>
        <w:tabs>
          <w:tab w:val="left" w:pos="3261"/>
          <w:tab w:val="left" w:pos="3828"/>
        </w:tabs>
        <w:spacing w:after="0"/>
        <w:ind w:left="1287"/>
        <w:jc w:val="both"/>
        <w:rPr>
          <w:rFonts w:ascii="Times New Roman" w:hAnsi="Times New Roman" w:cs="Times New Roman"/>
          <w:bCs/>
          <w:sz w:val="24"/>
          <w:szCs w:val="24"/>
          <w:lang w:val="ro-MD"/>
        </w:rPr>
      </w:pPr>
    </w:p>
    <w:p w14:paraId="4D24C546" w14:textId="77777777" w:rsidR="00DF57A2" w:rsidRPr="00C46FEA" w:rsidRDefault="00DF57A2" w:rsidP="00FE2742">
      <w:pPr>
        <w:tabs>
          <w:tab w:val="left" w:pos="3261"/>
          <w:tab w:val="left" w:pos="3828"/>
        </w:tabs>
        <w:spacing w:after="0"/>
        <w:ind w:firstLine="567"/>
        <w:jc w:val="both"/>
        <w:rPr>
          <w:rFonts w:ascii="Times New Roman" w:hAnsi="Times New Roman" w:cs="Times New Roman"/>
          <w:bCs/>
          <w:sz w:val="24"/>
          <w:szCs w:val="24"/>
          <w:lang w:val="ro-MD"/>
        </w:rPr>
      </w:pPr>
    </w:p>
    <w:p w14:paraId="6E81B615" w14:textId="2DD0CC84" w:rsidR="00881B6D" w:rsidRPr="00C46FEA" w:rsidRDefault="001848C3" w:rsidP="00FE2742">
      <w:pPr>
        <w:tabs>
          <w:tab w:val="left" w:pos="3261"/>
          <w:tab w:val="left" w:pos="3828"/>
        </w:tabs>
        <w:spacing w:after="0"/>
        <w:ind w:firstLine="567"/>
        <w:jc w:val="both"/>
        <w:rPr>
          <w:rFonts w:ascii="Times New Roman" w:hAnsi="Times New Roman"/>
          <w:sz w:val="24"/>
          <w:szCs w:val="24"/>
          <w:lang w:val="ro-MD"/>
        </w:rPr>
      </w:pPr>
      <w:r w:rsidRPr="00C46FEA">
        <w:rPr>
          <w:rFonts w:ascii="Times New Roman" w:hAnsi="Times New Roman" w:cs="Times New Roman"/>
          <w:bCs/>
          <w:sz w:val="24"/>
          <w:szCs w:val="24"/>
          <w:lang w:val="ro-MD"/>
        </w:rPr>
        <w:t xml:space="preserve">      </w:t>
      </w:r>
    </w:p>
    <w:p w14:paraId="17651288" w14:textId="77777777" w:rsidR="008F7EF0" w:rsidRPr="00C46FEA" w:rsidRDefault="008F7EF0" w:rsidP="00FE2742">
      <w:pPr>
        <w:tabs>
          <w:tab w:val="left" w:pos="567"/>
          <w:tab w:val="left" w:pos="3261"/>
          <w:tab w:val="left" w:pos="3828"/>
        </w:tabs>
        <w:spacing w:after="0"/>
        <w:ind w:firstLine="567"/>
        <w:jc w:val="both"/>
        <w:rPr>
          <w:rFonts w:ascii="Times New Roman" w:hAnsi="Times New Roman"/>
          <w:sz w:val="24"/>
          <w:szCs w:val="24"/>
          <w:lang w:val="ro-MD"/>
        </w:rPr>
      </w:pPr>
    </w:p>
    <w:p w14:paraId="06204E8B" w14:textId="77777777" w:rsidR="009551CD" w:rsidRPr="00C46FEA" w:rsidRDefault="009551CD" w:rsidP="00FE2742">
      <w:pPr>
        <w:tabs>
          <w:tab w:val="left" w:pos="9356"/>
        </w:tabs>
        <w:spacing w:after="0"/>
        <w:ind w:left="851" w:right="425" w:firstLine="142"/>
        <w:jc w:val="both"/>
        <w:rPr>
          <w:rFonts w:ascii="Times New Roman" w:hAnsi="Times New Roman"/>
          <w:b/>
          <w:sz w:val="24"/>
          <w:szCs w:val="24"/>
          <w:lang w:val="ro-MD"/>
        </w:rPr>
      </w:pPr>
    </w:p>
    <w:sectPr w:rsidR="009551CD" w:rsidRPr="00C46FEA" w:rsidSect="00B84A22">
      <w:pgSz w:w="11906" w:h="16838"/>
      <w:pgMar w:top="709" w:right="992"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268EE" w14:textId="77777777" w:rsidR="007F1E54" w:rsidRDefault="007F1E54" w:rsidP="00335271">
      <w:pPr>
        <w:spacing w:after="0" w:line="240" w:lineRule="auto"/>
      </w:pPr>
      <w:r>
        <w:separator/>
      </w:r>
    </w:p>
  </w:endnote>
  <w:endnote w:type="continuationSeparator" w:id="0">
    <w:p w14:paraId="3B862D80" w14:textId="77777777" w:rsidR="007F1E54" w:rsidRDefault="007F1E54" w:rsidP="0033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8CAD4" w14:textId="77777777" w:rsidR="007F1E54" w:rsidRDefault="007F1E54" w:rsidP="00335271">
      <w:pPr>
        <w:spacing w:after="0" w:line="240" w:lineRule="auto"/>
      </w:pPr>
      <w:r>
        <w:separator/>
      </w:r>
    </w:p>
  </w:footnote>
  <w:footnote w:type="continuationSeparator" w:id="0">
    <w:p w14:paraId="3EF42E27" w14:textId="77777777" w:rsidR="007F1E54" w:rsidRDefault="007F1E54" w:rsidP="00335271">
      <w:pPr>
        <w:spacing w:after="0" w:line="240" w:lineRule="auto"/>
      </w:pPr>
      <w:r>
        <w:continuationSeparator/>
      </w:r>
    </w:p>
  </w:footnote>
  <w:footnote w:id="1">
    <w:p w14:paraId="2A605292" w14:textId="4E628491" w:rsidR="009D16BE" w:rsidRDefault="009D16BE">
      <w:pPr>
        <w:pStyle w:val="FootnoteText"/>
      </w:pPr>
      <w:r>
        <w:rPr>
          <w:rStyle w:val="FootnoteReference"/>
        </w:rPr>
        <w:footnoteRef/>
      </w:r>
      <w:r>
        <w:t xml:space="preserve"> </w:t>
      </w:r>
      <w:hyperlink r:id="rId1" w:history="1">
        <w:r w:rsidRPr="00DA1F14">
          <w:rPr>
            <w:rStyle w:val="Hyperlink"/>
          </w:rPr>
          <w:t>https://serbia-energy.eu/declining-inertia-and-the-structural-repricing-of-balancing-and-intraday-markets/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2"/>
      <w:numFmt w:val="bullet"/>
      <w:lvlText w:val="-"/>
      <w:lvlJc w:val="left"/>
      <w:pPr>
        <w:tabs>
          <w:tab w:val="num" w:pos="359"/>
        </w:tabs>
        <w:ind w:left="359" w:hanging="360"/>
      </w:pPr>
      <w:rPr>
        <w:rFonts w:ascii="Times New Roman" w:hAnsi="Times New Roman" w:cs="Times New Roman"/>
      </w:rPr>
    </w:lvl>
  </w:abstractNum>
  <w:abstractNum w:abstractNumId="1" w15:restartNumberingAfterBreak="0">
    <w:nsid w:val="047B21D1"/>
    <w:multiLevelType w:val="multilevel"/>
    <w:tmpl w:val="EF02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B00BA"/>
    <w:multiLevelType w:val="hybridMultilevel"/>
    <w:tmpl w:val="2AFC6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800C97"/>
    <w:multiLevelType w:val="multilevel"/>
    <w:tmpl w:val="4B649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81B94"/>
    <w:multiLevelType w:val="hybridMultilevel"/>
    <w:tmpl w:val="ECD2B45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99664ED"/>
    <w:multiLevelType w:val="hybridMultilevel"/>
    <w:tmpl w:val="EAEE5966"/>
    <w:lvl w:ilvl="0" w:tplc="91D64A4E">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0ADE255E"/>
    <w:multiLevelType w:val="hybridMultilevel"/>
    <w:tmpl w:val="7666B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B7A94"/>
    <w:multiLevelType w:val="hybridMultilevel"/>
    <w:tmpl w:val="C87A81EA"/>
    <w:lvl w:ilvl="0" w:tplc="866C7848">
      <w:numFmt w:val="bullet"/>
      <w:lvlText w:val="-"/>
      <w:lvlJc w:val="left"/>
      <w:pPr>
        <w:ind w:left="987" w:hanging="360"/>
      </w:pPr>
      <w:rPr>
        <w:rFonts w:ascii="Times New Roman" w:eastAsiaTheme="minorHAnsi" w:hAnsi="Times New Roman"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8" w15:restartNumberingAfterBreak="0">
    <w:nsid w:val="10B81CDD"/>
    <w:multiLevelType w:val="hybridMultilevel"/>
    <w:tmpl w:val="8F16B68E"/>
    <w:lvl w:ilvl="0" w:tplc="1BCA536A">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FC428B"/>
    <w:multiLevelType w:val="hybridMultilevel"/>
    <w:tmpl w:val="94309C9A"/>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181D3E7A"/>
    <w:multiLevelType w:val="hybridMultilevel"/>
    <w:tmpl w:val="3C48FA94"/>
    <w:lvl w:ilvl="0" w:tplc="B18E2CD2">
      <w:start w:val="1"/>
      <w:numFmt w:val="decimal"/>
      <w:pStyle w:val="Firstbullet"/>
      <w:lvlText w:val="(%1)"/>
      <w:lvlJc w:val="left"/>
      <w:pPr>
        <w:ind w:left="502" w:hanging="360"/>
      </w:pPr>
      <w:rPr>
        <w:lang w:val="it-I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1" w15:restartNumberingAfterBreak="0">
    <w:nsid w:val="1A55707F"/>
    <w:multiLevelType w:val="multilevel"/>
    <w:tmpl w:val="09181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6C7A96"/>
    <w:multiLevelType w:val="hybridMultilevel"/>
    <w:tmpl w:val="4412DF2C"/>
    <w:lvl w:ilvl="0" w:tplc="464672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33143"/>
    <w:multiLevelType w:val="hybridMultilevel"/>
    <w:tmpl w:val="195E7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3A596A"/>
    <w:multiLevelType w:val="hybridMultilevel"/>
    <w:tmpl w:val="750A9928"/>
    <w:lvl w:ilvl="0" w:tplc="071E81A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1F594043"/>
    <w:multiLevelType w:val="hybridMultilevel"/>
    <w:tmpl w:val="0006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07A8F"/>
    <w:multiLevelType w:val="hybridMultilevel"/>
    <w:tmpl w:val="F7A4EEB0"/>
    <w:lvl w:ilvl="0" w:tplc="54EA303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2468DF"/>
    <w:multiLevelType w:val="hybridMultilevel"/>
    <w:tmpl w:val="DB1A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F1FEA"/>
    <w:multiLevelType w:val="hybridMultilevel"/>
    <w:tmpl w:val="D5746596"/>
    <w:lvl w:ilvl="0" w:tplc="B6FA3F04">
      <w:start w:val="2"/>
      <w:numFmt w:val="bullet"/>
      <w:lvlText w:val="-"/>
      <w:lvlJc w:val="left"/>
      <w:pPr>
        <w:ind w:left="959" w:hanging="360"/>
      </w:pPr>
      <w:rPr>
        <w:rFonts w:ascii="Times New Roman" w:eastAsiaTheme="minorHAnsi" w:hAnsi="Times New Roman" w:cs="Times New Roman"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19" w15:restartNumberingAfterBreak="0">
    <w:nsid w:val="301B35A8"/>
    <w:multiLevelType w:val="hybridMultilevel"/>
    <w:tmpl w:val="389E6B80"/>
    <w:lvl w:ilvl="0" w:tplc="464672BE">
      <w:start w:val="1"/>
      <w:numFmt w:val="bullet"/>
      <w:lvlText w:val=""/>
      <w:lvlJc w:val="left"/>
      <w:pPr>
        <w:ind w:left="502"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0" w15:restartNumberingAfterBreak="0">
    <w:nsid w:val="33772CF5"/>
    <w:multiLevelType w:val="hybridMultilevel"/>
    <w:tmpl w:val="EDCE8D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39930BA"/>
    <w:multiLevelType w:val="hybridMultilevel"/>
    <w:tmpl w:val="33F83B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E93E79"/>
    <w:multiLevelType w:val="multilevel"/>
    <w:tmpl w:val="BC3A7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8C27FE"/>
    <w:multiLevelType w:val="hybridMultilevel"/>
    <w:tmpl w:val="242E4ACA"/>
    <w:lvl w:ilvl="0" w:tplc="0700DD44">
      <w:start w:val="1"/>
      <w:numFmt w:val="decimal"/>
      <w:pStyle w:val="cris"/>
      <w:lvlText w:val="%1."/>
      <w:lvlJc w:val="left"/>
      <w:pPr>
        <w:ind w:left="0" w:firstLine="568"/>
      </w:pPr>
      <w:rPr>
        <w:rFonts w:ascii="Times New Roman" w:hAnsi="Times New Roman" w:cs="Times New Roman" w:hint="default"/>
        <w:b/>
        <w:bCs/>
        <w:i w:val="0"/>
        <w:strike w:val="0"/>
        <w:dstrike w:val="0"/>
        <w:sz w:val="24"/>
        <w:szCs w:val="24"/>
        <w:u w:val="none"/>
        <w:effect w:val="none"/>
      </w:rPr>
    </w:lvl>
    <w:lvl w:ilvl="1" w:tplc="04180019">
      <w:start w:val="1"/>
      <w:numFmt w:val="lowerLetter"/>
      <w:lvlText w:val="%2."/>
      <w:lvlJc w:val="left"/>
      <w:pPr>
        <w:ind w:left="1223" w:hanging="360"/>
      </w:pPr>
    </w:lvl>
    <w:lvl w:ilvl="2" w:tplc="0418001B">
      <w:start w:val="1"/>
      <w:numFmt w:val="lowerRoman"/>
      <w:lvlText w:val="%3."/>
      <w:lvlJc w:val="right"/>
      <w:pPr>
        <w:ind w:left="1943" w:hanging="180"/>
      </w:pPr>
    </w:lvl>
    <w:lvl w:ilvl="3" w:tplc="0418000F">
      <w:start w:val="1"/>
      <w:numFmt w:val="decimal"/>
      <w:lvlText w:val="%4."/>
      <w:lvlJc w:val="left"/>
      <w:pPr>
        <w:ind w:left="2663" w:hanging="360"/>
      </w:pPr>
    </w:lvl>
    <w:lvl w:ilvl="4" w:tplc="04180019">
      <w:start w:val="1"/>
      <w:numFmt w:val="lowerLetter"/>
      <w:lvlText w:val="%5."/>
      <w:lvlJc w:val="left"/>
      <w:pPr>
        <w:ind w:left="3383" w:hanging="360"/>
      </w:pPr>
    </w:lvl>
    <w:lvl w:ilvl="5" w:tplc="0418001B">
      <w:start w:val="1"/>
      <w:numFmt w:val="lowerRoman"/>
      <w:lvlText w:val="%6."/>
      <w:lvlJc w:val="right"/>
      <w:pPr>
        <w:ind w:left="4103" w:hanging="180"/>
      </w:pPr>
    </w:lvl>
    <w:lvl w:ilvl="6" w:tplc="0418000F">
      <w:start w:val="1"/>
      <w:numFmt w:val="decimal"/>
      <w:lvlText w:val="%7."/>
      <w:lvlJc w:val="left"/>
      <w:pPr>
        <w:ind w:left="4823" w:hanging="360"/>
      </w:pPr>
    </w:lvl>
    <w:lvl w:ilvl="7" w:tplc="04180019">
      <w:start w:val="1"/>
      <w:numFmt w:val="lowerLetter"/>
      <w:lvlText w:val="%8."/>
      <w:lvlJc w:val="left"/>
      <w:pPr>
        <w:ind w:left="5543" w:hanging="360"/>
      </w:pPr>
    </w:lvl>
    <w:lvl w:ilvl="8" w:tplc="0418001B">
      <w:start w:val="1"/>
      <w:numFmt w:val="lowerRoman"/>
      <w:lvlText w:val="%9."/>
      <w:lvlJc w:val="right"/>
      <w:pPr>
        <w:ind w:left="6263" w:hanging="180"/>
      </w:pPr>
    </w:lvl>
  </w:abstractNum>
  <w:abstractNum w:abstractNumId="24" w15:restartNumberingAfterBreak="0">
    <w:nsid w:val="3C7C1518"/>
    <w:multiLevelType w:val="multilevel"/>
    <w:tmpl w:val="CEEC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EC6327"/>
    <w:multiLevelType w:val="hybridMultilevel"/>
    <w:tmpl w:val="54B2A7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2014FC9"/>
    <w:multiLevelType w:val="multilevel"/>
    <w:tmpl w:val="1080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32745E"/>
    <w:multiLevelType w:val="hybridMultilevel"/>
    <w:tmpl w:val="FF32B1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6BD052A"/>
    <w:multiLevelType w:val="hybridMultilevel"/>
    <w:tmpl w:val="C3E82194"/>
    <w:lvl w:ilvl="0" w:tplc="04190017">
      <w:start w:val="1"/>
      <w:numFmt w:val="lowerLett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627387"/>
    <w:multiLevelType w:val="hybridMultilevel"/>
    <w:tmpl w:val="88A23E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54ED5091"/>
    <w:multiLevelType w:val="hybridMultilevel"/>
    <w:tmpl w:val="3B906E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427740"/>
    <w:multiLevelType w:val="hybridMultilevel"/>
    <w:tmpl w:val="373E8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BE1D77"/>
    <w:multiLevelType w:val="multilevel"/>
    <w:tmpl w:val="1C84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05213A"/>
    <w:multiLevelType w:val="hybridMultilevel"/>
    <w:tmpl w:val="B482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8A1E3E"/>
    <w:multiLevelType w:val="multilevel"/>
    <w:tmpl w:val="AB04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A3215E"/>
    <w:multiLevelType w:val="hybridMultilevel"/>
    <w:tmpl w:val="997CCD6E"/>
    <w:lvl w:ilvl="0" w:tplc="464672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C25CC"/>
    <w:multiLevelType w:val="hybridMultilevel"/>
    <w:tmpl w:val="6A64D9F4"/>
    <w:lvl w:ilvl="0" w:tplc="464672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54023B5"/>
    <w:multiLevelType w:val="multilevel"/>
    <w:tmpl w:val="FAE4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9" w15:restartNumberingAfterBreak="0">
    <w:nsid w:val="68501FF1"/>
    <w:multiLevelType w:val="hybridMultilevel"/>
    <w:tmpl w:val="761A40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A54247"/>
    <w:multiLevelType w:val="hybridMultilevel"/>
    <w:tmpl w:val="AB44E1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FBA7E50"/>
    <w:multiLevelType w:val="hybridMultilevel"/>
    <w:tmpl w:val="387C4C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0292A2F"/>
    <w:multiLevelType w:val="multilevel"/>
    <w:tmpl w:val="EC3EC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1B044FC"/>
    <w:multiLevelType w:val="hybridMultilevel"/>
    <w:tmpl w:val="62F48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5170F3"/>
    <w:multiLevelType w:val="hybridMultilevel"/>
    <w:tmpl w:val="10609A18"/>
    <w:lvl w:ilvl="0" w:tplc="4AC833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006DF3"/>
    <w:multiLevelType w:val="multilevel"/>
    <w:tmpl w:val="BFBE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EA71C4"/>
    <w:multiLevelType w:val="hybridMultilevel"/>
    <w:tmpl w:val="78468DB6"/>
    <w:lvl w:ilvl="0" w:tplc="E33AB80A">
      <w:start w:val="1"/>
      <w:numFmt w:val="decimal"/>
      <w:lvlText w:val="%1)"/>
      <w:lvlJc w:val="left"/>
      <w:pPr>
        <w:ind w:left="917" w:hanging="361"/>
      </w:pPr>
      <w:rPr>
        <w:rFonts w:ascii="Arial" w:eastAsia="Arial" w:hAnsi="Arial" w:cs="Arial" w:hint="default"/>
        <w:b w:val="0"/>
        <w:bCs w:val="0"/>
        <w:i w:val="0"/>
        <w:iCs w:val="0"/>
        <w:spacing w:val="-1"/>
        <w:w w:val="100"/>
        <w:sz w:val="22"/>
        <w:szCs w:val="22"/>
        <w:lang w:val="ro-RO" w:eastAsia="en-US" w:bidi="ar-SA"/>
      </w:rPr>
    </w:lvl>
    <w:lvl w:ilvl="1" w:tplc="F3BE64EC">
      <w:numFmt w:val="bullet"/>
      <w:lvlText w:val="•"/>
      <w:lvlJc w:val="left"/>
      <w:pPr>
        <w:ind w:left="1952" w:hanging="361"/>
      </w:pPr>
      <w:rPr>
        <w:rFonts w:hint="default"/>
        <w:lang w:val="ro-RO" w:eastAsia="en-US" w:bidi="ar-SA"/>
      </w:rPr>
    </w:lvl>
    <w:lvl w:ilvl="2" w:tplc="11FEBE16">
      <w:numFmt w:val="bullet"/>
      <w:lvlText w:val="•"/>
      <w:lvlJc w:val="left"/>
      <w:pPr>
        <w:ind w:left="2985" w:hanging="361"/>
      </w:pPr>
      <w:rPr>
        <w:rFonts w:hint="default"/>
        <w:lang w:val="ro-RO" w:eastAsia="en-US" w:bidi="ar-SA"/>
      </w:rPr>
    </w:lvl>
    <w:lvl w:ilvl="3" w:tplc="D1D8EBDC">
      <w:numFmt w:val="bullet"/>
      <w:lvlText w:val="•"/>
      <w:lvlJc w:val="left"/>
      <w:pPr>
        <w:ind w:left="4017" w:hanging="361"/>
      </w:pPr>
      <w:rPr>
        <w:rFonts w:hint="default"/>
        <w:lang w:val="ro-RO" w:eastAsia="en-US" w:bidi="ar-SA"/>
      </w:rPr>
    </w:lvl>
    <w:lvl w:ilvl="4" w:tplc="DF903DC8">
      <w:numFmt w:val="bullet"/>
      <w:lvlText w:val="•"/>
      <w:lvlJc w:val="left"/>
      <w:pPr>
        <w:ind w:left="5050" w:hanging="361"/>
      </w:pPr>
      <w:rPr>
        <w:rFonts w:hint="default"/>
        <w:lang w:val="ro-RO" w:eastAsia="en-US" w:bidi="ar-SA"/>
      </w:rPr>
    </w:lvl>
    <w:lvl w:ilvl="5" w:tplc="A03CC65C">
      <w:numFmt w:val="bullet"/>
      <w:lvlText w:val="•"/>
      <w:lvlJc w:val="left"/>
      <w:pPr>
        <w:ind w:left="6083" w:hanging="361"/>
      </w:pPr>
      <w:rPr>
        <w:rFonts w:hint="default"/>
        <w:lang w:val="ro-RO" w:eastAsia="en-US" w:bidi="ar-SA"/>
      </w:rPr>
    </w:lvl>
    <w:lvl w:ilvl="6" w:tplc="38A8071A">
      <w:numFmt w:val="bullet"/>
      <w:lvlText w:val="•"/>
      <w:lvlJc w:val="left"/>
      <w:pPr>
        <w:ind w:left="7115" w:hanging="361"/>
      </w:pPr>
      <w:rPr>
        <w:rFonts w:hint="default"/>
        <w:lang w:val="ro-RO" w:eastAsia="en-US" w:bidi="ar-SA"/>
      </w:rPr>
    </w:lvl>
    <w:lvl w:ilvl="7" w:tplc="E09C4B68">
      <w:numFmt w:val="bullet"/>
      <w:lvlText w:val="•"/>
      <w:lvlJc w:val="left"/>
      <w:pPr>
        <w:ind w:left="8148" w:hanging="361"/>
      </w:pPr>
      <w:rPr>
        <w:rFonts w:hint="default"/>
        <w:lang w:val="ro-RO" w:eastAsia="en-US" w:bidi="ar-SA"/>
      </w:rPr>
    </w:lvl>
    <w:lvl w:ilvl="8" w:tplc="39D0617E">
      <w:numFmt w:val="bullet"/>
      <w:lvlText w:val="•"/>
      <w:lvlJc w:val="left"/>
      <w:pPr>
        <w:ind w:left="9180" w:hanging="361"/>
      </w:pPr>
      <w:rPr>
        <w:rFonts w:hint="default"/>
        <w:lang w:val="ro-RO" w:eastAsia="en-US" w:bidi="ar-SA"/>
      </w:rPr>
    </w:lvl>
  </w:abstractNum>
  <w:abstractNum w:abstractNumId="47" w15:restartNumberingAfterBreak="0">
    <w:nsid w:val="7E2A746B"/>
    <w:multiLevelType w:val="hybridMultilevel"/>
    <w:tmpl w:val="1DEE9CDA"/>
    <w:lvl w:ilvl="0" w:tplc="08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18"/>
  </w:num>
  <w:num w:numId="6">
    <w:abstractNumId w:val="35"/>
  </w:num>
  <w:num w:numId="7">
    <w:abstractNumId w:val="44"/>
  </w:num>
  <w:num w:numId="8">
    <w:abstractNumId w:val="12"/>
  </w:num>
  <w:num w:numId="9">
    <w:abstractNumId w:val="0"/>
  </w:num>
  <w:num w:numId="10">
    <w:abstractNumId w:val="47"/>
  </w:num>
  <w:num w:numId="11">
    <w:abstractNumId w:val="31"/>
  </w:num>
  <w:num w:numId="12">
    <w:abstractNumId w:val="19"/>
  </w:num>
  <w:num w:numId="13">
    <w:abstractNumId w:val="8"/>
  </w:num>
  <w:num w:numId="14">
    <w:abstractNumId w:val="30"/>
  </w:num>
  <w:num w:numId="15">
    <w:abstractNumId w:val="28"/>
  </w:num>
  <w:num w:numId="16">
    <w:abstractNumId w:val="11"/>
  </w:num>
  <w:num w:numId="17">
    <w:abstractNumId w:val="16"/>
  </w:num>
  <w:num w:numId="18">
    <w:abstractNumId w:val="42"/>
  </w:num>
  <w:num w:numId="19">
    <w:abstractNumId w:val="17"/>
  </w:num>
  <w:num w:numId="20">
    <w:abstractNumId w:val="5"/>
  </w:num>
  <w:num w:numId="21">
    <w:abstractNumId w:val="9"/>
  </w:num>
  <w:num w:numId="22">
    <w:abstractNumId w:val="2"/>
  </w:num>
  <w:num w:numId="23">
    <w:abstractNumId w:val="39"/>
  </w:num>
  <w:num w:numId="24">
    <w:abstractNumId w:val="4"/>
  </w:num>
  <w:num w:numId="25">
    <w:abstractNumId w:val="6"/>
  </w:num>
  <w:num w:numId="26">
    <w:abstractNumId w:val="7"/>
  </w:num>
  <w:num w:numId="27">
    <w:abstractNumId w:val="21"/>
  </w:num>
  <w:num w:numId="28">
    <w:abstractNumId w:val="13"/>
  </w:num>
  <w:num w:numId="29">
    <w:abstractNumId w:val="43"/>
  </w:num>
  <w:num w:numId="30">
    <w:abstractNumId w:val="33"/>
  </w:num>
  <w:num w:numId="31">
    <w:abstractNumId w:val="46"/>
  </w:num>
  <w:num w:numId="32">
    <w:abstractNumId w:val="40"/>
  </w:num>
  <w:num w:numId="33">
    <w:abstractNumId w:val="14"/>
  </w:num>
  <w:num w:numId="34">
    <w:abstractNumId w:val="29"/>
  </w:num>
  <w:num w:numId="35">
    <w:abstractNumId w:val="20"/>
  </w:num>
  <w:num w:numId="36">
    <w:abstractNumId w:val="25"/>
  </w:num>
  <w:num w:numId="37">
    <w:abstractNumId w:val="22"/>
  </w:num>
  <w:num w:numId="38">
    <w:abstractNumId w:val="3"/>
  </w:num>
  <w:num w:numId="39">
    <w:abstractNumId w:val="34"/>
  </w:num>
  <w:num w:numId="40">
    <w:abstractNumId w:val="41"/>
  </w:num>
  <w:num w:numId="41">
    <w:abstractNumId w:val="27"/>
  </w:num>
  <w:num w:numId="42">
    <w:abstractNumId w:val="1"/>
  </w:num>
  <w:num w:numId="43">
    <w:abstractNumId w:val="37"/>
  </w:num>
  <w:num w:numId="44">
    <w:abstractNumId w:val="32"/>
  </w:num>
  <w:num w:numId="45">
    <w:abstractNumId w:val="45"/>
  </w:num>
  <w:num w:numId="46">
    <w:abstractNumId w:val="24"/>
  </w:num>
  <w:num w:numId="47">
    <w:abstractNumId w:val="26"/>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0B2"/>
    <w:rsid w:val="00017BF6"/>
    <w:rsid w:val="000327CB"/>
    <w:rsid w:val="000335E1"/>
    <w:rsid w:val="00037C78"/>
    <w:rsid w:val="000426EA"/>
    <w:rsid w:val="000441B4"/>
    <w:rsid w:val="00057741"/>
    <w:rsid w:val="00063B1D"/>
    <w:rsid w:val="00076126"/>
    <w:rsid w:val="000779B6"/>
    <w:rsid w:val="00080BEF"/>
    <w:rsid w:val="000833A0"/>
    <w:rsid w:val="000903C7"/>
    <w:rsid w:val="0009168A"/>
    <w:rsid w:val="000A1D5E"/>
    <w:rsid w:val="000B472E"/>
    <w:rsid w:val="000B71D9"/>
    <w:rsid w:val="000C22EE"/>
    <w:rsid w:val="000D478A"/>
    <w:rsid w:val="000D63ED"/>
    <w:rsid w:val="000E6F95"/>
    <w:rsid w:val="000F1035"/>
    <w:rsid w:val="000F494A"/>
    <w:rsid w:val="00107712"/>
    <w:rsid w:val="001223C8"/>
    <w:rsid w:val="00122D53"/>
    <w:rsid w:val="001243E9"/>
    <w:rsid w:val="0013519E"/>
    <w:rsid w:val="00143913"/>
    <w:rsid w:val="001441E2"/>
    <w:rsid w:val="0014590E"/>
    <w:rsid w:val="00151C12"/>
    <w:rsid w:val="00163176"/>
    <w:rsid w:val="0016490D"/>
    <w:rsid w:val="00170FBC"/>
    <w:rsid w:val="00171725"/>
    <w:rsid w:val="00172A0E"/>
    <w:rsid w:val="001848C3"/>
    <w:rsid w:val="0018547E"/>
    <w:rsid w:val="00187DFF"/>
    <w:rsid w:val="00192731"/>
    <w:rsid w:val="001971EE"/>
    <w:rsid w:val="001B0430"/>
    <w:rsid w:val="001B05EA"/>
    <w:rsid w:val="001B4DDE"/>
    <w:rsid w:val="001D79CA"/>
    <w:rsid w:val="001E2B34"/>
    <w:rsid w:val="001E2F43"/>
    <w:rsid w:val="001F0D24"/>
    <w:rsid w:val="001F3F4C"/>
    <w:rsid w:val="001F7303"/>
    <w:rsid w:val="00205F37"/>
    <w:rsid w:val="00206CDB"/>
    <w:rsid w:val="002170BE"/>
    <w:rsid w:val="00222CD6"/>
    <w:rsid w:val="002364C9"/>
    <w:rsid w:val="00257648"/>
    <w:rsid w:val="00264D6E"/>
    <w:rsid w:val="00271D12"/>
    <w:rsid w:val="0029116B"/>
    <w:rsid w:val="0029329D"/>
    <w:rsid w:val="00297D5D"/>
    <w:rsid w:val="002B4C9A"/>
    <w:rsid w:val="002B6CF3"/>
    <w:rsid w:val="002C16F0"/>
    <w:rsid w:val="002C6713"/>
    <w:rsid w:val="002C7F87"/>
    <w:rsid w:val="002D5286"/>
    <w:rsid w:val="002F1AB4"/>
    <w:rsid w:val="003018CE"/>
    <w:rsid w:val="00305186"/>
    <w:rsid w:val="00312F30"/>
    <w:rsid w:val="0031756C"/>
    <w:rsid w:val="00317DC4"/>
    <w:rsid w:val="00321889"/>
    <w:rsid w:val="00330054"/>
    <w:rsid w:val="00335271"/>
    <w:rsid w:val="0034148D"/>
    <w:rsid w:val="00342542"/>
    <w:rsid w:val="00345B2C"/>
    <w:rsid w:val="00346F7B"/>
    <w:rsid w:val="00346FDC"/>
    <w:rsid w:val="00351CD1"/>
    <w:rsid w:val="00352E73"/>
    <w:rsid w:val="003552C1"/>
    <w:rsid w:val="003815D8"/>
    <w:rsid w:val="00391CD7"/>
    <w:rsid w:val="0039532A"/>
    <w:rsid w:val="003A2519"/>
    <w:rsid w:val="003B650E"/>
    <w:rsid w:val="003C1A4D"/>
    <w:rsid w:val="003C2F87"/>
    <w:rsid w:val="003D75B4"/>
    <w:rsid w:val="003F2D97"/>
    <w:rsid w:val="0040251C"/>
    <w:rsid w:val="00404DC6"/>
    <w:rsid w:val="004110C2"/>
    <w:rsid w:val="0041339C"/>
    <w:rsid w:val="00421738"/>
    <w:rsid w:val="00431828"/>
    <w:rsid w:val="004325A2"/>
    <w:rsid w:val="00441E80"/>
    <w:rsid w:val="004500B6"/>
    <w:rsid w:val="00451DDD"/>
    <w:rsid w:val="0045652D"/>
    <w:rsid w:val="004578F9"/>
    <w:rsid w:val="00465DA9"/>
    <w:rsid w:val="00466ED0"/>
    <w:rsid w:val="00467131"/>
    <w:rsid w:val="004738D7"/>
    <w:rsid w:val="00482AB2"/>
    <w:rsid w:val="00490093"/>
    <w:rsid w:val="00491E46"/>
    <w:rsid w:val="004965BB"/>
    <w:rsid w:val="00496CB3"/>
    <w:rsid w:val="00497B3C"/>
    <w:rsid w:val="004A2B45"/>
    <w:rsid w:val="004A5C28"/>
    <w:rsid w:val="004B7E39"/>
    <w:rsid w:val="004C2FC1"/>
    <w:rsid w:val="004C4C6B"/>
    <w:rsid w:val="004C6C3F"/>
    <w:rsid w:val="004D77C0"/>
    <w:rsid w:val="004E2BAC"/>
    <w:rsid w:val="004E6491"/>
    <w:rsid w:val="004F4984"/>
    <w:rsid w:val="005006C4"/>
    <w:rsid w:val="00503837"/>
    <w:rsid w:val="00530327"/>
    <w:rsid w:val="00530F3D"/>
    <w:rsid w:val="00532DCD"/>
    <w:rsid w:val="005342F8"/>
    <w:rsid w:val="00535D03"/>
    <w:rsid w:val="005372B3"/>
    <w:rsid w:val="00544BF6"/>
    <w:rsid w:val="00560B74"/>
    <w:rsid w:val="00576877"/>
    <w:rsid w:val="00577125"/>
    <w:rsid w:val="00586103"/>
    <w:rsid w:val="00590BA3"/>
    <w:rsid w:val="005A394D"/>
    <w:rsid w:val="005A71AA"/>
    <w:rsid w:val="005B151D"/>
    <w:rsid w:val="005B1B73"/>
    <w:rsid w:val="005B4FE3"/>
    <w:rsid w:val="005B61CD"/>
    <w:rsid w:val="005C3043"/>
    <w:rsid w:val="005C4FC8"/>
    <w:rsid w:val="005D1555"/>
    <w:rsid w:val="005D525F"/>
    <w:rsid w:val="005E2F15"/>
    <w:rsid w:val="005E5F16"/>
    <w:rsid w:val="005F2829"/>
    <w:rsid w:val="005F7884"/>
    <w:rsid w:val="00612A15"/>
    <w:rsid w:val="00612AD0"/>
    <w:rsid w:val="006145CD"/>
    <w:rsid w:val="0061555C"/>
    <w:rsid w:val="0061609B"/>
    <w:rsid w:val="0061766F"/>
    <w:rsid w:val="006177A2"/>
    <w:rsid w:val="00620C38"/>
    <w:rsid w:val="00624F0B"/>
    <w:rsid w:val="006279BF"/>
    <w:rsid w:val="006301FB"/>
    <w:rsid w:val="00630303"/>
    <w:rsid w:val="00630BCE"/>
    <w:rsid w:val="00630EE2"/>
    <w:rsid w:val="00631321"/>
    <w:rsid w:val="00632A4A"/>
    <w:rsid w:val="00633C38"/>
    <w:rsid w:val="00635C50"/>
    <w:rsid w:val="00637C40"/>
    <w:rsid w:val="0064133E"/>
    <w:rsid w:val="006522DB"/>
    <w:rsid w:val="006543C6"/>
    <w:rsid w:val="00667F51"/>
    <w:rsid w:val="00672A5D"/>
    <w:rsid w:val="00672AFC"/>
    <w:rsid w:val="00674E23"/>
    <w:rsid w:val="00675AAF"/>
    <w:rsid w:val="00681621"/>
    <w:rsid w:val="006915F9"/>
    <w:rsid w:val="0069214E"/>
    <w:rsid w:val="006A1462"/>
    <w:rsid w:val="006A3412"/>
    <w:rsid w:val="006A49D7"/>
    <w:rsid w:val="006C2748"/>
    <w:rsid w:val="006D478B"/>
    <w:rsid w:val="006D7D30"/>
    <w:rsid w:val="006F15C7"/>
    <w:rsid w:val="006F525C"/>
    <w:rsid w:val="006F5804"/>
    <w:rsid w:val="006F6EFE"/>
    <w:rsid w:val="0070517E"/>
    <w:rsid w:val="00706F5A"/>
    <w:rsid w:val="00710C00"/>
    <w:rsid w:val="00722BA0"/>
    <w:rsid w:val="007244A1"/>
    <w:rsid w:val="0073053D"/>
    <w:rsid w:val="007305CF"/>
    <w:rsid w:val="00733EA6"/>
    <w:rsid w:val="00741B74"/>
    <w:rsid w:val="00747825"/>
    <w:rsid w:val="00761476"/>
    <w:rsid w:val="007715F0"/>
    <w:rsid w:val="007856C5"/>
    <w:rsid w:val="00787279"/>
    <w:rsid w:val="00787452"/>
    <w:rsid w:val="007A2379"/>
    <w:rsid w:val="007A6753"/>
    <w:rsid w:val="007C0B57"/>
    <w:rsid w:val="007C20B1"/>
    <w:rsid w:val="007E2C82"/>
    <w:rsid w:val="007F140D"/>
    <w:rsid w:val="007F1E54"/>
    <w:rsid w:val="007F1F4D"/>
    <w:rsid w:val="007F284A"/>
    <w:rsid w:val="007F60B2"/>
    <w:rsid w:val="00803B6E"/>
    <w:rsid w:val="0080670C"/>
    <w:rsid w:val="008171C4"/>
    <w:rsid w:val="00833949"/>
    <w:rsid w:val="00835A85"/>
    <w:rsid w:val="00841FF4"/>
    <w:rsid w:val="00842896"/>
    <w:rsid w:val="0084798B"/>
    <w:rsid w:val="00856A95"/>
    <w:rsid w:val="0086574C"/>
    <w:rsid w:val="0087111D"/>
    <w:rsid w:val="00871879"/>
    <w:rsid w:val="00874876"/>
    <w:rsid w:val="00881B6D"/>
    <w:rsid w:val="008B1FC0"/>
    <w:rsid w:val="008B220E"/>
    <w:rsid w:val="008B688E"/>
    <w:rsid w:val="008D0432"/>
    <w:rsid w:val="008E0B1D"/>
    <w:rsid w:val="008F434D"/>
    <w:rsid w:val="008F50DF"/>
    <w:rsid w:val="008F7EF0"/>
    <w:rsid w:val="009074C3"/>
    <w:rsid w:val="0091596C"/>
    <w:rsid w:val="00916170"/>
    <w:rsid w:val="00921841"/>
    <w:rsid w:val="009218AC"/>
    <w:rsid w:val="0092780E"/>
    <w:rsid w:val="009316A7"/>
    <w:rsid w:val="00933327"/>
    <w:rsid w:val="009365C8"/>
    <w:rsid w:val="00953077"/>
    <w:rsid w:val="009551CD"/>
    <w:rsid w:val="0095530C"/>
    <w:rsid w:val="00956002"/>
    <w:rsid w:val="0097487D"/>
    <w:rsid w:val="00980E0E"/>
    <w:rsid w:val="00982CB2"/>
    <w:rsid w:val="009A4E9A"/>
    <w:rsid w:val="009B17D3"/>
    <w:rsid w:val="009B3607"/>
    <w:rsid w:val="009C1A82"/>
    <w:rsid w:val="009D16BE"/>
    <w:rsid w:val="009E024E"/>
    <w:rsid w:val="009E13C1"/>
    <w:rsid w:val="009E1E7A"/>
    <w:rsid w:val="009E2392"/>
    <w:rsid w:val="009E2802"/>
    <w:rsid w:val="009E7FF0"/>
    <w:rsid w:val="009F614B"/>
    <w:rsid w:val="00A002A0"/>
    <w:rsid w:val="00A04351"/>
    <w:rsid w:val="00A10DAB"/>
    <w:rsid w:val="00A10FB4"/>
    <w:rsid w:val="00A1763E"/>
    <w:rsid w:val="00A221BF"/>
    <w:rsid w:val="00A22ED4"/>
    <w:rsid w:val="00A24A48"/>
    <w:rsid w:val="00A2609E"/>
    <w:rsid w:val="00A27507"/>
    <w:rsid w:val="00A355D3"/>
    <w:rsid w:val="00A369A9"/>
    <w:rsid w:val="00A42233"/>
    <w:rsid w:val="00A47847"/>
    <w:rsid w:val="00A5158A"/>
    <w:rsid w:val="00A52AC6"/>
    <w:rsid w:val="00A55335"/>
    <w:rsid w:val="00A55A6C"/>
    <w:rsid w:val="00A63ACC"/>
    <w:rsid w:val="00A70653"/>
    <w:rsid w:val="00A70F9A"/>
    <w:rsid w:val="00A7252A"/>
    <w:rsid w:val="00A84737"/>
    <w:rsid w:val="00A85703"/>
    <w:rsid w:val="00A870F9"/>
    <w:rsid w:val="00A9376A"/>
    <w:rsid w:val="00A93BE5"/>
    <w:rsid w:val="00A949F3"/>
    <w:rsid w:val="00A95893"/>
    <w:rsid w:val="00A97673"/>
    <w:rsid w:val="00A97B8D"/>
    <w:rsid w:val="00AA2558"/>
    <w:rsid w:val="00AA78DC"/>
    <w:rsid w:val="00AB1C70"/>
    <w:rsid w:val="00AB6A97"/>
    <w:rsid w:val="00AC1960"/>
    <w:rsid w:val="00AC2185"/>
    <w:rsid w:val="00AC2FF6"/>
    <w:rsid w:val="00AD2F6E"/>
    <w:rsid w:val="00AD3424"/>
    <w:rsid w:val="00AE5C66"/>
    <w:rsid w:val="00AF2247"/>
    <w:rsid w:val="00AF38D4"/>
    <w:rsid w:val="00AF3D39"/>
    <w:rsid w:val="00AF6F89"/>
    <w:rsid w:val="00AF71A7"/>
    <w:rsid w:val="00B02C08"/>
    <w:rsid w:val="00B10182"/>
    <w:rsid w:val="00B10694"/>
    <w:rsid w:val="00B23ECA"/>
    <w:rsid w:val="00B23F65"/>
    <w:rsid w:val="00B311AF"/>
    <w:rsid w:val="00B328E5"/>
    <w:rsid w:val="00B32FCD"/>
    <w:rsid w:val="00B33DB1"/>
    <w:rsid w:val="00B3401E"/>
    <w:rsid w:val="00B34AD7"/>
    <w:rsid w:val="00B35A19"/>
    <w:rsid w:val="00B46F5A"/>
    <w:rsid w:val="00B4744B"/>
    <w:rsid w:val="00B60F86"/>
    <w:rsid w:val="00B84A22"/>
    <w:rsid w:val="00B90C0C"/>
    <w:rsid w:val="00B9136D"/>
    <w:rsid w:val="00B969BC"/>
    <w:rsid w:val="00BA447E"/>
    <w:rsid w:val="00BB1B28"/>
    <w:rsid w:val="00BB2250"/>
    <w:rsid w:val="00BB502F"/>
    <w:rsid w:val="00BC38C1"/>
    <w:rsid w:val="00BC5D59"/>
    <w:rsid w:val="00BC6B52"/>
    <w:rsid w:val="00BD3D0C"/>
    <w:rsid w:val="00BD6503"/>
    <w:rsid w:val="00BE39B3"/>
    <w:rsid w:val="00BF7701"/>
    <w:rsid w:val="00C02B7C"/>
    <w:rsid w:val="00C13D0F"/>
    <w:rsid w:val="00C232CF"/>
    <w:rsid w:val="00C3048A"/>
    <w:rsid w:val="00C3148C"/>
    <w:rsid w:val="00C34A9A"/>
    <w:rsid w:val="00C42288"/>
    <w:rsid w:val="00C451E3"/>
    <w:rsid w:val="00C46FEA"/>
    <w:rsid w:val="00C56654"/>
    <w:rsid w:val="00C579F7"/>
    <w:rsid w:val="00C57B8E"/>
    <w:rsid w:val="00C6145F"/>
    <w:rsid w:val="00C70020"/>
    <w:rsid w:val="00C7318A"/>
    <w:rsid w:val="00C777BB"/>
    <w:rsid w:val="00C86D6C"/>
    <w:rsid w:val="00C91AAD"/>
    <w:rsid w:val="00CA2903"/>
    <w:rsid w:val="00CA56DA"/>
    <w:rsid w:val="00CA7380"/>
    <w:rsid w:val="00CC0D73"/>
    <w:rsid w:val="00CC1B1B"/>
    <w:rsid w:val="00CC2DB3"/>
    <w:rsid w:val="00CD6028"/>
    <w:rsid w:val="00CD78E0"/>
    <w:rsid w:val="00CE2BB7"/>
    <w:rsid w:val="00CF0A82"/>
    <w:rsid w:val="00CF77FB"/>
    <w:rsid w:val="00D04C62"/>
    <w:rsid w:val="00D11BF5"/>
    <w:rsid w:val="00D222A0"/>
    <w:rsid w:val="00D23205"/>
    <w:rsid w:val="00D25CFC"/>
    <w:rsid w:val="00D339D2"/>
    <w:rsid w:val="00D36043"/>
    <w:rsid w:val="00D3683B"/>
    <w:rsid w:val="00D40233"/>
    <w:rsid w:val="00D44D1D"/>
    <w:rsid w:val="00D46AD7"/>
    <w:rsid w:val="00D47C47"/>
    <w:rsid w:val="00D60110"/>
    <w:rsid w:val="00D618FE"/>
    <w:rsid w:val="00D72089"/>
    <w:rsid w:val="00D86B6B"/>
    <w:rsid w:val="00D91BB1"/>
    <w:rsid w:val="00D936D7"/>
    <w:rsid w:val="00DA2DDA"/>
    <w:rsid w:val="00DB186A"/>
    <w:rsid w:val="00DB3272"/>
    <w:rsid w:val="00DC3A8D"/>
    <w:rsid w:val="00DC517C"/>
    <w:rsid w:val="00DC69F1"/>
    <w:rsid w:val="00DC7E9F"/>
    <w:rsid w:val="00DD76B4"/>
    <w:rsid w:val="00DE04BA"/>
    <w:rsid w:val="00DE0B3F"/>
    <w:rsid w:val="00DE0DE5"/>
    <w:rsid w:val="00DE52CF"/>
    <w:rsid w:val="00DF57A2"/>
    <w:rsid w:val="00E05218"/>
    <w:rsid w:val="00E07541"/>
    <w:rsid w:val="00E10A47"/>
    <w:rsid w:val="00E12F94"/>
    <w:rsid w:val="00E17E70"/>
    <w:rsid w:val="00E2184B"/>
    <w:rsid w:val="00E25723"/>
    <w:rsid w:val="00E301F6"/>
    <w:rsid w:val="00E462A1"/>
    <w:rsid w:val="00E52C32"/>
    <w:rsid w:val="00E53C00"/>
    <w:rsid w:val="00E57318"/>
    <w:rsid w:val="00E667F5"/>
    <w:rsid w:val="00E7356F"/>
    <w:rsid w:val="00E746F8"/>
    <w:rsid w:val="00E74A8B"/>
    <w:rsid w:val="00E82AE7"/>
    <w:rsid w:val="00E91AD6"/>
    <w:rsid w:val="00E925BF"/>
    <w:rsid w:val="00E97A53"/>
    <w:rsid w:val="00EA1430"/>
    <w:rsid w:val="00EA4A1A"/>
    <w:rsid w:val="00EA5843"/>
    <w:rsid w:val="00EA5A44"/>
    <w:rsid w:val="00EA7AC1"/>
    <w:rsid w:val="00EB235F"/>
    <w:rsid w:val="00EB2F0F"/>
    <w:rsid w:val="00EC334A"/>
    <w:rsid w:val="00EC4B6F"/>
    <w:rsid w:val="00EC6748"/>
    <w:rsid w:val="00EC6CBF"/>
    <w:rsid w:val="00EC6D3C"/>
    <w:rsid w:val="00ED10FE"/>
    <w:rsid w:val="00EE014C"/>
    <w:rsid w:val="00EE369C"/>
    <w:rsid w:val="00EF06D3"/>
    <w:rsid w:val="00EF3DA2"/>
    <w:rsid w:val="00EF490B"/>
    <w:rsid w:val="00F0695E"/>
    <w:rsid w:val="00F07BE9"/>
    <w:rsid w:val="00F1156A"/>
    <w:rsid w:val="00F234F2"/>
    <w:rsid w:val="00F26E3E"/>
    <w:rsid w:val="00F31374"/>
    <w:rsid w:val="00F31CF9"/>
    <w:rsid w:val="00F3320B"/>
    <w:rsid w:val="00F42059"/>
    <w:rsid w:val="00F458D3"/>
    <w:rsid w:val="00F54050"/>
    <w:rsid w:val="00F60CE8"/>
    <w:rsid w:val="00F65004"/>
    <w:rsid w:val="00F72060"/>
    <w:rsid w:val="00F743FB"/>
    <w:rsid w:val="00F76F38"/>
    <w:rsid w:val="00F83276"/>
    <w:rsid w:val="00F83A6D"/>
    <w:rsid w:val="00F85A5B"/>
    <w:rsid w:val="00F90A57"/>
    <w:rsid w:val="00FA3B84"/>
    <w:rsid w:val="00FA56BB"/>
    <w:rsid w:val="00FA7097"/>
    <w:rsid w:val="00FA789A"/>
    <w:rsid w:val="00FB1BFE"/>
    <w:rsid w:val="00FB5C66"/>
    <w:rsid w:val="00FB6F00"/>
    <w:rsid w:val="00FC56A0"/>
    <w:rsid w:val="00FD4948"/>
    <w:rsid w:val="00FD7F83"/>
    <w:rsid w:val="00FE1E9E"/>
    <w:rsid w:val="00FE2635"/>
    <w:rsid w:val="00FE2742"/>
    <w:rsid w:val="00FE4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709D"/>
  <w15:chartTrackingRefBased/>
  <w15:docId w15:val="{7DD56279-9E9F-4D87-9331-46076A58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0B2"/>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F60B2"/>
    <w:pPr>
      <w:spacing w:after="120"/>
    </w:pPr>
  </w:style>
  <w:style w:type="character" w:customStyle="1" w:styleId="BodyTextChar">
    <w:name w:val="Body Text Char"/>
    <w:basedOn w:val="DefaultParagraphFont"/>
    <w:link w:val="BodyText"/>
    <w:uiPriority w:val="99"/>
    <w:semiHidden/>
    <w:rsid w:val="007F60B2"/>
    <w:rPr>
      <w:lang w:val="ro-RO"/>
    </w:rPr>
  </w:style>
  <w:style w:type="character" w:customStyle="1" w:styleId="ListParagraphChar">
    <w:name w:val="List Paragraph Char"/>
    <w:link w:val="ListParagraph"/>
    <w:uiPriority w:val="34"/>
    <w:locked/>
    <w:rsid w:val="007F60B2"/>
  </w:style>
  <w:style w:type="paragraph" w:styleId="ListParagraph">
    <w:name w:val="List Paragraph"/>
    <w:basedOn w:val="Normal"/>
    <w:link w:val="ListParagraphChar"/>
    <w:uiPriority w:val="34"/>
    <w:qFormat/>
    <w:rsid w:val="007F60B2"/>
    <w:pPr>
      <w:ind w:left="720"/>
      <w:contextualSpacing/>
    </w:pPr>
    <w:rPr>
      <w:lang w:val="ru-RU"/>
    </w:rPr>
  </w:style>
  <w:style w:type="character" w:customStyle="1" w:styleId="FirstbulletChar">
    <w:name w:val="First bullet Char"/>
    <w:basedOn w:val="BodyTextChar"/>
    <w:link w:val="Firstbullet"/>
    <w:locked/>
    <w:rsid w:val="007F60B2"/>
    <w:rPr>
      <w:rFonts w:ascii="Arial" w:eastAsia="Times New Roman" w:hAnsi="Arial" w:cs="Arial"/>
      <w:lang w:val="en-US" w:eastAsia="hr-HR"/>
    </w:rPr>
  </w:style>
  <w:style w:type="paragraph" w:customStyle="1" w:styleId="Firstbullet">
    <w:name w:val="First bullet"/>
    <w:basedOn w:val="BodyText"/>
    <w:link w:val="FirstbulletChar"/>
    <w:qFormat/>
    <w:rsid w:val="007F60B2"/>
    <w:pPr>
      <w:numPr>
        <w:numId w:val="1"/>
      </w:numPr>
      <w:spacing w:after="0" w:line="240" w:lineRule="auto"/>
      <w:ind w:left="360"/>
      <w:jc w:val="both"/>
    </w:pPr>
    <w:rPr>
      <w:rFonts w:ascii="Arial" w:eastAsia="Times New Roman" w:hAnsi="Arial" w:cs="Arial"/>
      <w:lang w:val="en-US" w:eastAsia="hr-HR"/>
    </w:rPr>
  </w:style>
  <w:style w:type="character" w:customStyle="1" w:styleId="cris0">
    <w:name w:val="cris Знак"/>
    <w:basedOn w:val="ListParagraphChar"/>
    <w:link w:val="cris"/>
    <w:locked/>
    <w:rsid w:val="007F60B2"/>
    <w:rPr>
      <w:rFonts w:ascii="Times New Roman" w:eastAsia="Calibri" w:hAnsi="Times New Roman" w:cs="Times New Roman"/>
      <w:sz w:val="24"/>
      <w:szCs w:val="24"/>
      <w:lang w:val="ro-MD" w:eastAsia="zh-CN"/>
    </w:rPr>
  </w:style>
  <w:style w:type="paragraph" w:customStyle="1" w:styleId="cris">
    <w:name w:val="cris"/>
    <w:basedOn w:val="ListParagraph"/>
    <w:link w:val="cris0"/>
    <w:qFormat/>
    <w:rsid w:val="007F60B2"/>
    <w:pPr>
      <w:numPr>
        <w:numId w:val="2"/>
      </w:numPr>
      <w:tabs>
        <w:tab w:val="left" w:pos="426"/>
        <w:tab w:val="left" w:pos="993"/>
      </w:tabs>
      <w:spacing w:after="120" w:line="240" w:lineRule="auto"/>
      <w:jc w:val="both"/>
    </w:pPr>
    <w:rPr>
      <w:rFonts w:ascii="Times New Roman" w:eastAsia="Calibri" w:hAnsi="Times New Roman" w:cs="Times New Roman"/>
      <w:sz w:val="24"/>
      <w:szCs w:val="24"/>
      <w:lang w:val="ro-MD" w:eastAsia="zh-CN"/>
    </w:rPr>
  </w:style>
  <w:style w:type="character" w:styleId="Hyperlink">
    <w:name w:val="Hyperlink"/>
    <w:basedOn w:val="DefaultParagraphFont"/>
    <w:uiPriority w:val="99"/>
    <w:unhideWhenUsed/>
    <w:rsid w:val="00871879"/>
    <w:rPr>
      <w:color w:val="0563C1" w:themeColor="hyperlink"/>
      <w:u w:val="single"/>
    </w:rPr>
  </w:style>
  <w:style w:type="paragraph" w:styleId="BalloonText">
    <w:name w:val="Balloon Text"/>
    <w:basedOn w:val="Normal"/>
    <w:link w:val="BalloonTextChar"/>
    <w:uiPriority w:val="99"/>
    <w:semiHidden/>
    <w:unhideWhenUsed/>
    <w:rsid w:val="009B3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607"/>
    <w:rPr>
      <w:rFonts w:ascii="Segoe UI" w:hAnsi="Segoe UI" w:cs="Segoe UI"/>
      <w:sz w:val="18"/>
      <w:szCs w:val="18"/>
      <w:lang w:val="ro-RO"/>
    </w:rPr>
  </w:style>
  <w:style w:type="paragraph" w:styleId="NormalWeb">
    <w:name w:val="Normal (Web)"/>
    <w:aliases w:val="Знак,webb, Знак"/>
    <w:basedOn w:val="Normal"/>
    <w:link w:val="NormalWebChar"/>
    <w:uiPriority w:val="99"/>
    <w:qFormat/>
    <w:rsid w:val="00B4744B"/>
    <w:pPr>
      <w:spacing w:after="0" w:line="240" w:lineRule="auto"/>
      <w:ind w:firstLine="567"/>
      <w:jc w:val="both"/>
    </w:pPr>
    <w:rPr>
      <w:rFonts w:ascii="Times New Roman" w:eastAsia="Calibri" w:hAnsi="Times New Roman" w:cs="Times New Roman"/>
      <w:sz w:val="24"/>
      <w:szCs w:val="24"/>
      <w:lang w:val="en-US"/>
    </w:rPr>
  </w:style>
  <w:style w:type="paragraph" w:styleId="Footer">
    <w:name w:val="footer"/>
    <w:basedOn w:val="Normal"/>
    <w:link w:val="FooterChar"/>
    <w:rsid w:val="008F50DF"/>
    <w:pPr>
      <w:tabs>
        <w:tab w:val="center" w:pos="4320"/>
        <w:tab w:val="right" w:pos="8640"/>
      </w:tabs>
      <w:spacing w:after="0" w:line="240" w:lineRule="auto"/>
    </w:pPr>
    <w:rPr>
      <w:rFonts w:ascii="Times New Roman" w:eastAsia="Calibri" w:hAnsi="Times New Roman" w:cs="Times New Roman"/>
      <w:sz w:val="24"/>
      <w:szCs w:val="24"/>
      <w:lang w:val="en-US"/>
    </w:rPr>
  </w:style>
  <w:style w:type="character" w:customStyle="1" w:styleId="FooterChar">
    <w:name w:val="Footer Char"/>
    <w:basedOn w:val="DefaultParagraphFont"/>
    <w:link w:val="Footer"/>
    <w:rsid w:val="008F50DF"/>
    <w:rPr>
      <w:rFonts w:ascii="Times New Roman" w:eastAsia="Calibri" w:hAnsi="Times New Roman" w:cs="Times New Roman"/>
      <w:sz w:val="24"/>
      <w:szCs w:val="24"/>
      <w:lang w:val="en-US"/>
    </w:rPr>
  </w:style>
  <w:style w:type="paragraph" w:customStyle="1" w:styleId="Style2">
    <w:name w:val="Style2"/>
    <w:basedOn w:val="Normal"/>
    <w:uiPriority w:val="99"/>
    <w:rsid w:val="00D25CFC"/>
    <w:pPr>
      <w:widowControl w:val="0"/>
      <w:autoSpaceDE w:val="0"/>
      <w:autoSpaceDN w:val="0"/>
      <w:adjustRightInd w:val="0"/>
      <w:spacing w:after="0" w:line="410" w:lineRule="exact"/>
      <w:ind w:firstLine="710"/>
      <w:jc w:val="both"/>
    </w:pPr>
    <w:rPr>
      <w:rFonts w:ascii="Times New Roman" w:eastAsia="Times New Roman" w:hAnsi="Times New Roman" w:cs="Times New Roman"/>
      <w:sz w:val="24"/>
      <w:szCs w:val="24"/>
      <w:lang w:val="en-US"/>
    </w:rPr>
  </w:style>
  <w:style w:type="paragraph" w:customStyle="1" w:styleId="CharChar">
    <w:name w:val="Знак Char Char"/>
    <w:basedOn w:val="Normal"/>
    <w:next w:val="Normal"/>
    <w:rsid w:val="00F234F2"/>
    <w:pPr>
      <w:spacing w:after="160" w:line="240" w:lineRule="exact"/>
    </w:pPr>
    <w:rPr>
      <w:rFonts w:ascii="Tahoma" w:eastAsia="Times New Roman" w:hAnsi="Tahoma" w:cs="Times New Roman"/>
      <w:sz w:val="24"/>
      <w:szCs w:val="20"/>
      <w:lang w:val="en-US"/>
    </w:rPr>
  </w:style>
  <w:style w:type="paragraph" w:customStyle="1" w:styleId="tt">
    <w:name w:val="tt"/>
    <w:basedOn w:val="Normal"/>
    <w:rsid w:val="00E91AD6"/>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Normal"/>
    <w:rsid w:val="00E74A8B"/>
    <w:pPr>
      <w:spacing w:after="0" w:line="240" w:lineRule="auto"/>
      <w:jc w:val="center"/>
    </w:pPr>
    <w:rPr>
      <w:rFonts w:ascii="Times New Roman" w:eastAsia="Times New Roman" w:hAnsi="Times New Roman" w:cs="Times New Roman"/>
      <w:b/>
      <w:bCs/>
      <w:sz w:val="24"/>
      <w:szCs w:val="24"/>
      <w:lang w:val="ru-RU" w:eastAsia="ru-RU"/>
    </w:rPr>
  </w:style>
  <w:style w:type="paragraph" w:styleId="CommentText">
    <w:name w:val="annotation text"/>
    <w:basedOn w:val="Normal"/>
    <w:link w:val="CommentTextChar"/>
    <w:uiPriority w:val="99"/>
    <w:unhideWhenUsed/>
    <w:rsid w:val="00E2184B"/>
    <w:pPr>
      <w:spacing w:line="240" w:lineRule="auto"/>
    </w:pPr>
    <w:rPr>
      <w:rFonts w:eastAsiaTheme="minorEastAsia"/>
      <w:sz w:val="20"/>
      <w:szCs w:val="20"/>
      <w:lang w:val="ru-RU" w:eastAsia="zh-CN"/>
    </w:rPr>
  </w:style>
  <w:style w:type="character" w:customStyle="1" w:styleId="CommentTextChar">
    <w:name w:val="Comment Text Char"/>
    <w:basedOn w:val="DefaultParagraphFont"/>
    <w:link w:val="CommentText"/>
    <w:uiPriority w:val="99"/>
    <w:rsid w:val="00E2184B"/>
    <w:rPr>
      <w:rFonts w:eastAsiaTheme="minorEastAsia"/>
      <w:sz w:val="20"/>
      <w:szCs w:val="20"/>
      <w:lang w:eastAsia="zh-CN"/>
    </w:rPr>
  </w:style>
  <w:style w:type="character" w:customStyle="1" w:styleId="NormalWebChar">
    <w:name w:val="Normal (Web) Char"/>
    <w:aliases w:val="Знак Char,webb Char, Знак Char"/>
    <w:link w:val="NormalWeb"/>
    <w:uiPriority w:val="99"/>
    <w:rsid w:val="008B688E"/>
    <w:rPr>
      <w:rFonts w:ascii="Times New Roman" w:eastAsia="Calibri" w:hAnsi="Times New Roman" w:cs="Times New Roman"/>
      <w:sz w:val="24"/>
      <w:szCs w:val="24"/>
      <w:lang w:val="en-US"/>
    </w:rPr>
  </w:style>
  <w:style w:type="paragraph" w:styleId="Header">
    <w:name w:val="header"/>
    <w:basedOn w:val="Normal"/>
    <w:link w:val="HeaderChar"/>
    <w:uiPriority w:val="99"/>
    <w:unhideWhenUsed/>
    <w:rsid w:val="00335271"/>
    <w:pPr>
      <w:tabs>
        <w:tab w:val="center" w:pos="4677"/>
        <w:tab w:val="right" w:pos="9355"/>
      </w:tabs>
      <w:spacing w:after="0" w:line="240" w:lineRule="auto"/>
    </w:pPr>
  </w:style>
  <w:style w:type="character" w:customStyle="1" w:styleId="HeaderChar">
    <w:name w:val="Header Char"/>
    <w:basedOn w:val="DefaultParagraphFont"/>
    <w:link w:val="Header"/>
    <w:uiPriority w:val="99"/>
    <w:rsid w:val="00335271"/>
    <w:rPr>
      <w:lang w:val="ro-RO"/>
    </w:rPr>
  </w:style>
  <w:style w:type="paragraph" w:customStyle="1" w:styleId="Normal1">
    <w:name w:val="Normal1"/>
    <w:basedOn w:val="Normal"/>
    <w:rsid w:val="009161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0">
    <w:name w:val="[Normal]"/>
    <w:link w:val="Normal2"/>
    <w:rsid w:val="0050383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Normal2">
    <w:name w:val="[Normal] Знак"/>
    <w:link w:val="Normal0"/>
    <w:rsid w:val="00503837"/>
    <w:rPr>
      <w:rFonts w:ascii="Arial" w:eastAsia="Times New Roman" w:hAnsi="Arial" w:cs="Arial"/>
      <w:sz w:val="24"/>
      <w:szCs w:val="24"/>
      <w:lang w:eastAsia="ru-RU"/>
    </w:rPr>
  </w:style>
  <w:style w:type="paragraph" w:styleId="HTMLPreformatted">
    <w:name w:val="HTML Preformatted"/>
    <w:basedOn w:val="Normal"/>
    <w:link w:val="HTMLPreformattedChar"/>
    <w:semiHidden/>
    <w:unhideWhenUsed/>
    <w:rsid w:val="0050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ar-SA"/>
    </w:rPr>
  </w:style>
  <w:style w:type="character" w:customStyle="1" w:styleId="HTMLPreformattedChar">
    <w:name w:val="HTML Preformatted Char"/>
    <w:basedOn w:val="DefaultParagraphFont"/>
    <w:link w:val="HTMLPreformatted"/>
    <w:semiHidden/>
    <w:rsid w:val="00503837"/>
    <w:rPr>
      <w:rFonts w:ascii="Courier New" w:eastAsia="Times New Roman" w:hAnsi="Courier New" w:cs="Courier New"/>
      <w:sz w:val="20"/>
      <w:szCs w:val="20"/>
      <w:lang w:eastAsia="ar-SA"/>
    </w:rPr>
  </w:style>
  <w:style w:type="character" w:customStyle="1" w:styleId="Bodytext2">
    <w:name w:val="Body text (2)_"/>
    <w:link w:val="Bodytext20"/>
    <w:rsid w:val="003B650E"/>
    <w:rPr>
      <w:rFonts w:ascii="Times New Roman" w:eastAsia="Times New Roman" w:hAnsi="Times New Roman"/>
      <w:shd w:val="clear" w:color="auto" w:fill="FFFFFF"/>
    </w:rPr>
  </w:style>
  <w:style w:type="paragraph" w:customStyle="1" w:styleId="Bodytext20">
    <w:name w:val="Body text (2)"/>
    <w:basedOn w:val="Normal"/>
    <w:link w:val="Bodytext2"/>
    <w:rsid w:val="003B650E"/>
    <w:pPr>
      <w:widowControl w:val="0"/>
      <w:shd w:val="clear" w:color="auto" w:fill="FFFFFF"/>
      <w:spacing w:before="360" w:after="60" w:line="336" w:lineRule="exact"/>
      <w:jc w:val="both"/>
    </w:pPr>
    <w:rPr>
      <w:rFonts w:ascii="Times New Roman" w:eastAsia="Times New Roman" w:hAnsi="Times New Roman"/>
      <w:lang w:val="ru-RU"/>
    </w:rPr>
  </w:style>
  <w:style w:type="paragraph" w:customStyle="1" w:styleId="TableParagraph">
    <w:name w:val="Table Paragraph"/>
    <w:basedOn w:val="Normal"/>
    <w:uiPriority w:val="1"/>
    <w:qFormat/>
    <w:rsid w:val="007A6753"/>
    <w:pPr>
      <w:widowControl w:val="0"/>
      <w:autoSpaceDE w:val="0"/>
      <w:autoSpaceDN w:val="0"/>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297D5D"/>
    <w:rPr>
      <w:sz w:val="16"/>
      <w:szCs w:val="16"/>
    </w:rPr>
  </w:style>
  <w:style w:type="paragraph" w:styleId="CommentSubject">
    <w:name w:val="annotation subject"/>
    <w:basedOn w:val="CommentText"/>
    <w:next w:val="CommentText"/>
    <w:link w:val="CommentSubjectChar"/>
    <w:uiPriority w:val="99"/>
    <w:semiHidden/>
    <w:unhideWhenUsed/>
    <w:rsid w:val="00297D5D"/>
    <w:rPr>
      <w:rFonts w:eastAsiaTheme="minorHAnsi"/>
      <w:b/>
      <w:bCs/>
      <w:lang w:val="ro-RO" w:eastAsia="en-US"/>
    </w:rPr>
  </w:style>
  <w:style w:type="character" w:customStyle="1" w:styleId="CommentSubjectChar">
    <w:name w:val="Comment Subject Char"/>
    <w:basedOn w:val="CommentTextChar"/>
    <w:link w:val="CommentSubject"/>
    <w:uiPriority w:val="99"/>
    <w:semiHidden/>
    <w:rsid w:val="00297D5D"/>
    <w:rPr>
      <w:rFonts w:eastAsiaTheme="minorEastAsia"/>
      <w:b/>
      <w:bCs/>
      <w:sz w:val="20"/>
      <w:szCs w:val="20"/>
      <w:lang w:val="ro-RO" w:eastAsia="zh-CN"/>
    </w:rPr>
  </w:style>
  <w:style w:type="paragraph" w:styleId="FootnoteText">
    <w:name w:val="footnote text"/>
    <w:basedOn w:val="Normal"/>
    <w:link w:val="FootnoteTextChar"/>
    <w:uiPriority w:val="99"/>
    <w:semiHidden/>
    <w:unhideWhenUsed/>
    <w:rsid w:val="00037C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7C78"/>
    <w:rPr>
      <w:sz w:val="20"/>
      <w:szCs w:val="20"/>
      <w:lang w:val="ro-RO"/>
    </w:rPr>
  </w:style>
  <w:style w:type="character" w:styleId="FootnoteReference">
    <w:name w:val="footnote reference"/>
    <w:basedOn w:val="DefaultParagraphFont"/>
    <w:uiPriority w:val="99"/>
    <w:semiHidden/>
    <w:unhideWhenUsed/>
    <w:rsid w:val="00037C78"/>
    <w:rPr>
      <w:vertAlign w:val="superscript"/>
    </w:rPr>
  </w:style>
  <w:style w:type="character" w:customStyle="1" w:styleId="whitespace-normal">
    <w:name w:val="whitespace-normal"/>
    <w:basedOn w:val="DefaultParagraphFont"/>
    <w:rsid w:val="005372B3"/>
  </w:style>
  <w:style w:type="character" w:styleId="Strong">
    <w:name w:val="Strong"/>
    <w:basedOn w:val="DefaultParagraphFont"/>
    <w:uiPriority w:val="22"/>
    <w:qFormat/>
    <w:rsid w:val="005372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2807">
      <w:bodyDiv w:val="1"/>
      <w:marLeft w:val="0"/>
      <w:marRight w:val="0"/>
      <w:marTop w:val="0"/>
      <w:marBottom w:val="0"/>
      <w:divBdr>
        <w:top w:val="none" w:sz="0" w:space="0" w:color="auto"/>
        <w:left w:val="none" w:sz="0" w:space="0" w:color="auto"/>
        <w:bottom w:val="none" w:sz="0" w:space="0" w:color="auto"/>
        <w:right w:val="none" w:sz="0" w:space="0" w:color="auto"/>
      </w:divBdr>
    </w:div>
    <w:div w:id="261645247">
      <w:bodyDiv w:val="1"/>
      <w:marLeft w:val="0"/>
      <w:marRight w:val="0"/>
      <w:marTop w:val="0"/>
      <w:marBottom w:val="0"/>
      <w:divBdr>
        <w:top w:val="none" w:sz="0" w:space="0" w:color="auto"/>
        <w:left w:val="none" w:sz="0" w:space="0" w:color="auto"/>
        <w:bottom w:val="none" w:sz="0" w:space="0" w:color="auto"/>
        <w:right w:val="none" w:sz="0" w:space="0" w:color="auto"/>
      </w:divBdr>
    </w:div>
    <w:div w:id="321086652">
      <w:bodyDiv w:val="1"/>
      <w:marLeft w:val="0"/>
      <w:marRight w:val="0"/>
      <w:marTop w:val="0"/>
      <w:marBottom w:val="0"/>
      <w:divBdr>
        <w:top w:val="none" w:sz="0" w:space="0" w:color="auto"/>
        <w:left w:val="none" w:sz="0" w:space="0" w:color="auto"/>
        <w:bottom w:val="none" w:sz="0" w:space="0" w:color="auto"/>
        <w:right w:val="none" w:sz="0" w:space="0" w:color="auto"/>
      </w:divBdr>
    </w:div>
    <w:div w:id="431127297">
      <w:bodyDiv w:val="1"/>
      <w:marLeft w:val="0"/>
      <w:marRight w:val="0"/>
      <w:marTop w:val="0"/>
      <w:marBottom w:val="0"/>
      <w:divBdr>
        <w:top w:val="none" w:sz="0" w:space="0" w:color="auto"/>
        <w:left w:val="none" w:sz="0" w:space="0" w:color="auto"/>
        <w:bottom w:val="none" w:sz="0" w:space="0" w:color="auto"/>
        <w:right w:val="none" w:sz="0" w:space="0" w:color="auto"/>
      </w:divBdr>
    </w:div>
    <w:div w:id="1543060179">
      <w:bodyDiv w:val="1"/>
      <w:marLeft w:val="0"/>
      <w:marRight w:val="0"/>
      <w:marTop w:val="0"/>
      <w:marBottom w:val="0"/>
      <w:divBdr>
        <w:top w:val="none" w:sz="0" w:space="0" w:color="auto"/>
        <w:left w:val="none" w:sz="0" w:space="0" w:color="auto"/>
        <w:bottom w:val="none" w:sz="0" w:space="0" w:color="auto"/>
        <w:right w:val="none" w:sz="0" w:space="0" w:color="auto"/>
      </w:divBdr>
    </w:div>
    <w:div w:id="1586257119">
      <w:bodyDiv w:val="1"/>
      <w:marLeft w:val="0"/>
      <w:marRight w:val="0"/>
      <w:marTop w:val="0"/>
      <w:marBottom w:val="0"/>
      <w:divBdr>
        <w:top w:val="none" w:sz="0" w:space="0" w:color="auto"/>
        <w:left w:val="none" w:sz="0" w:space="0" w:color="auto"/>
        <w:bottom w:val="none" w:sz="0" w:space="0" w:color="auto"/>
        <w:right w:val="none" w:sz="0" w:space="0" w:color="auto"/>
      </w:divBdr>
    </w:div>
    <w:div w:id="1627930788">
      <w:bodyDiv w:val="1"/>
      <w:marLeft w:val="0"/>
      <w:marRight w:val="0"/>
      <w:marTop w:val="0"/>
      <w:marBottom w:val="0"/>
      <w:divBdr>
        <w:top w:val="none" w:sz="0" w:space="0" w:color="auto"/>
        <w:left w:val="none" w:sz="0" w:space="0" w:color="auto"/>
        <w:bottom w:val="none" w:sz="0" w:space="0" w:color="auto"/>
        <w:right w:val="none" w:sz="0" w:space="0" w:color="auto"/>
      </w:divBdr>
    </w:div>
    <w:div w:id="1670474492">
      <w:bodyDiv w:val="1"/>
      <w:marLeft w:val="0"/>
      <w:marRight w:val="0"/>
      <w:marTop w:val="0"/>
      <w:marBottom w:val="0"/>
      <w:divBdr>
        <w:top w:val="none" w:sz="0" w:space="0" w:color="auto"/>
        <w:left w:val="none" w:sz="0" w:space="0" w:color="auto"/>
        <w:bottom w:val="none" w:sz="0" w:space="0" w:color="auto"/>
        <w:right w:val="none" w:sz="0" w:space="0" w:color="auto"/>
      </w:divBdr>
    </w:div>
    <w:div w:id="167518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rbia-energy.eu/declining-inertia-and-the-structural-repricing-of-balancing-and-intraday-mar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6603B-C782-498A-A8A7-F2C24A6BA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4</Pages>
  <Words>1817</Words>
  <Characters>10361</Characters>
  <Application>Microsoft Office Word</Application>
  <DocSecurity>0</DocSecurity>
  <Lines>86</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Seracuta Stefan</cp:lastModifiedBy>
  <cp:revision>230</cp:revision>
  <cp:lastPrinted>2025-04-08T08:27:00Z</cp:lastPrinted>
  <dcterms:created xsi:type="dcterms:W3CDTF">2022-09-07T11:56:00Z</dcterms:created>
  <dcterms:modified xsi:type="dcterms:W3CDTF">2026-06-17T06:34:00Z</dcterms:modified>
</cp:coreProperties>
</file>