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5AA0F" w14:textId="77777777" w:rsidR="004F12D9" w:rsidRPr="00FA2CDE" w:rsidRDefault="004F12D9" w:rsidP="004F12D9">
      <w:pPr>
        <w:spacing w:after="0" w:line="276" w:lineRule="auto"/>
        <w:jc w:val="center"/>
        <w:rPr>
          <w:b/>
          <w:color w:val="000000" w:themeColor="text1"/>
          <w:sz w:val="28"/>
          <w:lang w:val="ro-RO"/>
        </w:rPr>
      </w:pPr>
    </w:p>
    <w:p w14:paraId="6E49EACC" w14:textId="77777777" w:rsidR="004F12D9" w:rsidRPr="00FA2CDE" w:rsidRDefault="004F12D9" w:rsidP="004F12D9">
      <w:pPr>
        <w:spacing w:after="0" w:line="276" w:lineRule="auto"/>
        <w:jc w:val="center"/>
        <w:rPr>
          <w:b/>
          <w:color w:val="000000" w:themeColor="text1"/>
          <w:sz w:val="28"/>
          <w:lang w:val="ro-RO"/>
        </w:rPr>
      </w:pPr>
    </w:p>
    <w:p w14:paraId="24C17CC9" w14:textId="77777777" w:rsidR="004F12D9" w:rsidRPr="00FA2CDE" w:rsidRDefault="004F12D9" w:rsidP="004F12D9">
      <w:pPr>
        <w:spacing w:after="0" w:line="276" w:lineRule="auto"/>
        <w:jc w:val="center"/>
        <w:rPr>
          <w:b/>
          <w:color w:val="000000" w:themeColor="text1"/>
          <w:sz w:val="28"/>
          <w:lang w:val="ro-RO"/>
        </w:rPr>
      </w:pPr>
    </w:p>
    <w:p w14:paraId="2DDCFB6B" w14:textId="77777777" w:rsidR="004F12D9" w:rsidRPr="00FA2CDE" w:rsidRDefault="004F12D9" w:rsidP="004F12D9">
      <w:pPr>
        <w:spacing w:after="0" w:line="276" w:lineRule="auto"/>
        <w:jc w:val="center"/>
        <w:rPr>
          <w:color w:val="000000" w:themeColor="text1"/>
          <w:lang w:val="ro-RO"/>
        </w:rPr>
      </w:pPr>
      <w:r>
        <w:rPr>
          <w:b/>
          <w:color w:val="000000" w:themeColor="text1"/>
          <w:sz w:val="28"/>
          <w:lang w:val="ro-RO"/>
        </w:rPr>
        <w:t>NOTĂ DE FUNDAMENTARE</w:t>
      </w:r>
    </w:p>
    <w:p w14:paraId="11A60DE4" w14:textId="77777777" w:rsidR="004F12D9" w:rsidRPr="00FA2CDE" w:rsidRDefault="004F12D9" w:rsidP="004F12D9">
      <w:pPr>
        <w:spacing w:after="0" w:line="276" w:lineRule="auto"/>
        <w:jc w:val="center"/>
        <w:rPr>
          <w:b/>
          <w:color w:val="000000" w:themeColor="text1"/>
          <w:lang w:val="ro-RO"/>
        </w:rPr>
      </w:pPr>
      <w:r w:rsidRPr="00FA2CDE">
        <w:rPr>
          <w:b/>
          <w:color w:val="000000" w:themeColor="text1"/>
          <w:lang w:val="ro-RO"/>
        </w:rPr>
        <w:t>la proiectul Hotărârii Consiliului de administrație al Agenției Naționale pentru Reglementare în Energetică cu privire la Sistemul informațional „Instrumentul de comparare a ofertelor furnizorilor de gaze naturale și de energie electrică”</w:t>
      </w:r>
    </w:p>
    <w:p w14:paraId="2A6FAB63" w14:textId="77777777" w:rsidR="004F12D9" w:rsidRPr="00FA2CDE" w:rsidRDefault="004F12D9" w:rsidP="004F12D9">
      <w:pPr>
        <w:spacing w:after="0" w:line="276" w:lineRule="auto"/>
        <w:jc w:val="center"/>
        <w:rPr>
          <w:color w:val="000000" w:themeColor="text1"/>
          <w:lang w:val="ro-RO"/>
        </w:rPr>
      </w:pPr>
    </w:p>
    <w:tbl>
      <w:tblPr>
        <w:tblStyle w:val="TableGrid"/>
        <w:tblW w:w="4883" w:type="pct"/>
        <w:tblInd w:w="120" w:type="dxa"/>
        <w:tblLook w:val="04A0" w:firstRow="1" w:lastRow="0" w:firstColumn="1" w:lastColumn="0" w:noHBand="0" w:noVBand="1"/>
      </w:tblPr>
      <w:tblGrid>
        <w:gridCol w:w="10005"/>
      </w:tblGrid>
      <w:tr w:rsidR="004F12D9" w:rsidRPr="00FA2CDE" w14:paraId="650FC9D0" w14:textId="77777777" w:rsidTr="00E51E1F">
        <w:trPr>
          <w:cantSplit/>
        </w:trPr>
        <w:tc>
          <w:tcPr>
            <w:tcW w:w="5000" w:type="pct"/>
            <w:shd w:val="clear" w:color="auto" w:fill="BFBFBF"/>
            <w:tcMar>
              <w:top w:w="75" w:type="dxa"/>
              <w:left w:w="120" w:type="dxa"/>
              <w:bottom w:w="75" w:type="dxa"/>
              <w:right w:w="120" w:type="dxa"/>
            </w:tcMar>
            <w:vAlign w:val="center"/>
          </w:tcPr>
          <w:p w14:paraId="190EBA5A" w14:textId="77777777" w:rsidR="004F12D9" w:rsidRPr="00FA2CDE" w:rsidRDefault="004F12D9" w:rsidP="00E51E1F">
            <w:pPr>
              <w:spacing w:line="276" w:lineRule="auto"/>
              <w:rPr>
                <w:color w:val="000000" w:themeColor="text1"/>
                <w:lang w:val="ro-RO"/>
              </w:rPr>
            </w:pPr>
            <w:r w:rsidRPr="00FA2CDE">
              <w:rPr>
                <w:b/>
                <w:color w:val="000000" w:themeColor="text1"/>
                <w:lang w:val="ro-RO"/>
              </w:rPr>
              <w:t>1. Denumirea sau numele autorului și, după caz, a/al participanților la elaborarea proiectului actului normativ</w:t>
            </w:r>
          </w:p>
        </w:tc>
      </w:tr>
      <w:tr w:rsidR="004F12D9" w:rsidRPr="00FA2CDE" w14:paraId="7C70AE44" w14:textId="77777777" w:rsidTr="00E51E1F">
        <w:tc>
          <w:tcPr>
            <w:tcW w:w="5000" w:type="pct"/>
            <w:shd w:val="clear" w:color="auto" w:fill="FFFFFF"/>
            <w:tcMar>
              <w:top w:w="105" w:type="dxa"/>
              <w:left w:w="120" w:type="dxa"/>
              <w:bottom w:w="105" w:type="dxa"/>
              <w:right w:w="120" w:type="dxa"/>
            </w:tcMar>
          </w:tcPr>
          <w:p w14:paraId="29BE1677"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Autorul proiectului este Agenția Națională pentru Reglementare în Energetică (ANRE). Proiectul a fost elaborat în limitele competențelor instituției în domeniul energiei electrice, al gazelor naturale și al protecției consumatorilor finali, cu suportul Programului „Accelerarea unei tranziții energetice echitabile în Republica Moldova” (Just Energy Transition - JET) al PNUD Moldova.</w:t>
            </w:r>
          </w:p>
        </w:tc>
      </w:tr>
      <w:tr w:rsidR="004F12D9" w:rsidRPr="00FA2CDE" w14:paraId="18E75869" w14:textId="77777777" w:rsidTr="00E51E1F">
        <w:trPr>
          <w:cantSplit/>
        </w:trPr>
        <w:tc>
          <w:tcPr>
            <w:tcW w:w="5000" w:type="pct"/>
            <w:shd w:val="clear" w:color="auto" w:fill="BFBFBF"/>
            <w:tcMar>
              <w:top w:w="75" w:type="dxa"/>
              <w:left w:w="120" w:type="dxa"/>
              <w:bottom w:w="75" w:type="dxa"/>
              <w:right w:w="120" w:type="dxa"/>
            </w:tcMar>
            <w:vAlign w:val="center"/>
          </w:tcPr>
          <w:p w14:paraId="09DA5B25" w14:textId="77777777" w:rsidR="004F12D9" w:rsidRPr="00FA2CDE" w:rsidRDefault="004F12D9" w:rsidP="00E51E1F">
            <w:pPr>
              <w:spacing w:line="276" w:lineRule="auto"/>
              <w:rPr>
                <w:color w:val="000000" w:themeColor="text1"/>
                <w:lang w:val="ro-RO"/>
              </w:rPr>
            </w:pPr>
            <w:r w:rsidRPr="00FA2CDE">
              <w:rPr>
                <w:b/>
                <w:color w:val="000000" w:themeColor="text1"/>
                <w:lang w:val="ro-RO"/>
              </w:rPr>
              <w:t>2. Condițiile ce au impus elaborarea proiectului actului normativ</w:t>
            </w:r>
          </w:p>
        </w:tc>
      </w:tr>
      <w:tr w:rsidR="004F12D9" w:rsidRPr="00FA2CDE" w14:paraId="2FCE2214" w14:textId="77777777" w:rsidTr="00E51E1F">
        <w:trPr>
          <w:cantSplit/>
        </w:trPr>
        <w:tc>
          <w:tcPr>
            <w:tcW w:w="5000" w:type="pct"/>
            <w:shd w:val="clear" w:color="auto" w:fill="E7E6E6"/>
            <w:tcMar>
              <w:top w:w="75" w:type="dxa"/>
              <w:left w:w="120" w:type="dxa"/>
              <w:bottom w:w="75" w:type="dxa"/>
              <w:right w:w="120" w:type="dxa"/>
            </w:tcMar>
            <w:vAlign w:val="center"/>
          </w:tcPr>
          <w:p w14:paraId="7E376FEF" w14:textId="77777777" w:rsidR="004F12D9" w:rsidRPr="00FA2CDE" w:rsidRDefault="004F12D9" w:rsidP="00E51E1F">
            <w:pPr>
              <w:spacing w:line="276" w:lineRule="auto"/>
              <w:rPr>
                <w:color w:val="000000" w:themeColor="text1"/>
                <w:lang w:val="ro-RO"/>
              </w:rPr>
            </w:pPr>
            <w:r w:rsidRPr="00FA2CDE">
              <w:rPr>
                <w:i/>
                <w:color w:val="000000" w:themeColor="text1"/>
                <w:lang w:val="ro-RO"/>
              </w:rPr>
              <w:t>2.1. Temeiul legal sau, după caz, sursa proiectului actului normativ</w:t>
            </w:r>
          </w:p>
        </w:tc>
      </w:tr>
      <w:tr w:rsidR="004F12D9" w:rsidRPr="00FA2CDE" w14:paraId="698FB80C" w14:textId="77777777" w:rsidTr="00E51E1F">
        <w:tc>
          <w:tcPr>
            <w:tcW w:w="5000" w:type="pct"/>
            <w:shd w:val="clear" w:color="auto" w:fill="FFFFFF"/>
            <w:tcMar>
              <w:top w:w="105" w:type="dxa"/>
              <w:left w:w="120" w:type="dxa"/>
              <w:bottom w:w="105" w:type="dxa"/>
              <w:right w:w="120" w:type="dxa"/>
            </w:tcMar>
          </w:tcPr>
          <w:p w14:paraId="11FE35A8"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Temeiul sectorial direct al proiectului îl constituie art. 113 din Legea nr. 164/2025 cu privire la energia electrică și art. 87¹ din Legea nr. 108/2016 cu privire la gazele naturale.</w:t>
            </w:r>
          </w:p>
          <w:p w14:paraId="605D2015"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Articolul 113 alin. (1) din Legea nr. 164/2025 garantează accesul gratuit la cel puțin un instrument de comparare pentru consumatorii casnici, societățile comerciale micro și societățile comerciale mici cu un consum anual preconizat mai mic de 100 000 kWh. Instrumentul trebuie să includă și ofertele pentru contractele de furnizare a energiei electrice la prețuri dinamice. Normele de la alin. (2) al articolului numit stabilesc cerințele minime de independență, obiectivitate, transparență, exactitate, actualitate, accesibilitate și protecție a datelor. Potrivit alin. (3), ANRE are obligația de a dezvolta un instrument care să respecte aceste cerințe și să acopere întreaga piață cu amănuntul a energiei electrice din Republica Moldova.</w:t>
            </w:r>
          </w:p>
          <w:p w14:paraId="6FA4AC5A"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Articolul 87¹ alin. (1) din Legea nr. 108/2016 garantează accesul gratuit la un instrument de comparare pentru consumatorii casnici și consumatorii noncasnici cu un consum anual preconizat mai mic de 100 000 kWh. La alin. (2) al articolului sunt stabilite cerințe pentru instrumentul din sectorul gazelor naturale similare pentru instrumentul din domeniul energiei electrice. Potrivit alin. (3) al articolului numit, ANRE dezvoltă instrumentul care acoperă întreaga piață cu amănuntul a gazelor naturale. Iar în corespundere cu alin. (4), furnizorii sunt obligați să prezinte ANRE ofertele relevante și să actualizeze informațiile privind ofertele disponibile.</w:t>
            </w:r>
          </w:p>
          <w:p w14:paraId="1B74FA06" w14:textId="77777777" w:rsidR="004F12D9" w:rsidRPr="00FA2CDE" w:rsidRDefault="004F12D9" w:rsidP="00E51E1F">
            <w:pPr>
              <w:spacing w:line="276" w:lineRule="auto"/>
              <w:ind w:firstLine="567"/>
              <w:jc w:val="both"/>
              <w:rPr>
                <w:color w:val="000000" w:themeColor="text1"/>
                <w:lang w:val="ro-RO"/>
              </w:rPr>
            </w:pPr>
            <w:r>
              <w:rPr>
                <w:color w:val="000000" w:themeColor="text1"/>
                <w:lang w:val="ro-RO"/>
              </w:rPr>
              <w:t xml:space="preserve">Competența ANRE de a documenta, crea și menține sisteme informaționale în domeniile reglementate este prevăzută expres la art. 13 alin. (1) lit. f¹) din Legea nr. 174/2017 cu privire la </w:t>
            </w:r>
            <w:r>
              <w:rPr>
                <w:color w:val="000000" w:themeColor="text1"/>
                <w:lang w:val="ro-RO"/>
              </w:rPr>
              <w:lastRenderedPageBreak/>
              <w:t>energetică. Această competență se exercită pentru executarea obligațiilor sectoriale stabilite la art. 113 alin. (3) din Legea nr. 164/2025 și la art. 87¹ alin. (3) din Legea nr. 108/2016.</w:t>
            </w:r>
          </w:p>
          <w:p w14:paraId="71A87F6F" w14:textId="1C831E70" w:rsidR="004F12D9" w:rsidRPr="00FA2CDE" w:rsidRDefault="004F12D9" w:rsidP="00E51E1F">
            <w:pPr>
              <w:spacing w:line="276" w:lineRule="auto"/>
              <w:ind w:firstLine="567"/>
              <w:jc w:val="both"/>
              <w:rPr>
                <w:color w:val="000000" w:themeColor="text1"/>
                <w:lang w:val="ro-RO"/>
              </w:rPr>
            </w:pPr>
            <w:r>
              <w:rPr>
                <w:color w:val="000000" w:themeColor="text1"/>
                <w:lang w:val="ro-RO"/>
              </w:rPr>
              <w:t xml:space="preserve">SI ICOF este conceput ca sistem informațional instituțional al ANRE, destinat exercitării atribuțiilor proprii și prestării către public a funcției gratuite de comparare. Proiectul nu califică SI ICOF drept sistem informațional de stat și nu instituie un registru de stat. </w:t>
            </w:r>
            <w:r w:rsidR="0093636B" w:rsidRPr="0093636B">
              <w:rPr>
                <w:color w:val="000000" w:themeColor="text1"/>
                <w:lang w:val="ro-RO"/>
              </w:rPr>
              <w:t>ANRE este proprietarul SI ICOF și al resursei informaționale formate în cadrul acestuia, precum și operatorul sistemului. Drepturile patrimoniale asupra codului sursă, documentației tehnice și celorlalte livrabile se dobândesc de ANRE în condițiile contractelor și ale actelor de recepție-predare aplicabile</w:t>
            </w:r>
            <w:r>
              <w:rPr>
                <w:color w:val="000000" w:themeColor="text1"/>
                <w:lang w:val="ro-RO"/>
              </w:rPr>
              <w:t>.</w:t>
            </w:r>
          </w:p>
          <w:p w14:paraId="682DBB8F"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 xml:space="preserve">Sursa tehnică directă a </w:t>
            </w:r>
            <w:r w:rsidRPr="00FA2CDE">
              <w:rPr>
                <w:i/>
                <w:iCs/>
                <w:color w:val="000000" w:themeColor="text1"/>
                <w:lang w:val="ro-RO"/>
              </w:rPr>
              <w:t>Conceptului Sistemului informațional „Instrumentul de comparare a ofertelor furnizorilor de gaze naturale și de energie electrică”</w:t>
            </w:r>
            <w:r w:rsidRPr="00FA2CDE">
              <w:rPr>
                <w:color w:val="000000" w:themeColor="text1"/>
                <w:lang w:val="ro-RO"/>
              </w:rPr>
              <w:t xml:space="preserve"> (în continuare – Conceptul SI ICOF) este Caietul de sarcini pentru elaborarea și implementarea SI ICOF. Caietul de sarcini stabilește cerințele funcționale și tehnice care urmează să fie transpuse în arhitectura și funcționarea sistemului. Conceptul preia din acesta soluțiile care au relevanță juridică și organizațională. Detaliile de implementare care depind de tehnologia aleasă rămân în documentația tehnică și contractuală.</w:t>
            </w:r>
          </w:p>
          <w:p w14:paraId="3D814F11" w14:textId="77777777" w:rsidR="004F12D9" w:rsidRPr="00FA2CDE" w:rsidRDefault="004F12D9" w:rsidP="00E51E1F">
            <w:pPr>
              <w:spacing w:line="276" w:lineRule="auto"/>
              <w:ind w:firstLine="567"/>
              <w:jc w:val="both"/>
              <w:rPr>
                <w:color w:val="000000" w:themeColor="text1"/>
                <w:lang w:val="ro-RO"/>
              </w:rPr>
            </w:pPr>
            <w:r w:rsidRPr="00FA2CDE">
              <w:rPr>
                <w:i/>
                <w:iCs/>
                <w:color w:val="000000" w:themeColor="text1"/>
                <w:lang w:val="ro-RO"/>
              </w:rPr>
              <w:t>Regulamentul privind organizarea și funcționarea Sistemului informațional „Instrumentul de comparare a ofertelor furnizorilor de gaze naturale și de energie electrică”</w:t>
            </w:r>
            <w:r w:rsidRPr="00FA2CDE">
              <w:rPr>
                <w:color w:val="000000" w:themeColor="text1"/>
                <w:lang w:val="ro-RO"/>
              </w:rPr>
              <w:t xml:space="preserve"> (în continuare – Regulamentul SI ICOF) dezvoltă cadrul de funcționare stabilit prin Concept. Acesta reglementează modul de utilizare a sistemului, rolurile și responsabilitățile participanților în raporturile juridice determinate de utilizarea SI ICOF, procedura de prezentare și actualizare a ofertelor, precum și regulile de publicare și comparare a acestora. Regulamentul asigură aplicarea unitară a soluțiilor prevăzute în Concept.</w:t>
            </w:r>
          </w:p>
          <w:p w14:paraId="24C30B28" w14:textId="77777777" w:rsidR="004F12D9" w:rsidRPr="00FA2CDE" w:rsidRDefault="004F12D9" w:rsidP="00E51E1F">
            <w:pPr>
              <w:spacing w:line="276" w:lineRule="auto"/>
              <w:ind w:firstLine="567"/>
              <w:jc w:val="both"/>
              <w:rPr>
                <w:color w:val="000000" w:themeColor="text1"/>
                <w:lang w:val="ro-RO"/>
              </w:rPr>
            </w:pPr>
            <w:r>
              <w:rPr>
                <w:color w:val="000000" w:themeColor="text1"/>
                <w:lang w:val="ro-RO"/>
              </w:rPr>
              <w:t>Proiectul este elaborat pentru executarea unor obligații legale exprese. Dezvoltarea și punerea în aplicare a unui instrument de comparare a ofertelor de energie electrică și de gaze naturale nu au caracter facultativ, fiind stabilite ca obligații ale ANRE. Intervenția ANRE este necesară pentru transformarea cerințelor legale într-un cadru juridic, organizațional, informațional și tehnologic aplicabil SI ICOF.</w:t>
            </w:r>
          </w:p>
        </w:tc>
      </w:tr>
      <w:tr w:rsidR="004F12D9" w:rsidRPr="00FA2CDE" w14:paraId="65ADE32A" w14:textId="77777777" w:rsidTr="00E51E1F">
        <w:trPr>
          <w:cantSplit/>
        </w:trPr>
        <w:tc>
          <w:tcPr>
            <w:tcW w:w="5000" w:type="pct"/>
            <w:shd w:val="clear" w:color="auto" w:fill="E7E6E6"/>
            <w:tcMar>
              <w:top w:w="75" w:type="dxa"/>
              <w:left w:w="120" w:type="dxa"/>
              <w:bottom w:w="75" w:type="dxa"/>
              <w:right w:w="120" w:type="dxa"/>
            </w:tcMar>
            <w:vAlign w:val="center"/>
          </w:tcPr>
          <w:p w14:paraId="49949F3E" w14:textId="77777777" w:rsidR="004F12D9" w:rsidRPr="00FA2CDE" w:rsidRDefault="004F12D9" w:rsidP="00E51E1F">
            <w:pPr>
              <w:spacing w:line="276" w:lineRule="auto"/>
              <w:rPr>
                <w:color w:val="000000" w:themeColor="text1"/>
                <w:lang w:val="ro-RO"/>
              </w:rPr>
            </w:pPr>
            <w:r w:rsidRPr="00FA2CDE">
              <w:rPr>
                <w:i/>
                <w:color w:val="000000" w:themeColor="text1"/>
                <w:lang w:val="ro-RO"/>
              </w:rPr>
              <w:lastRenderedPageBreak/>
              <w:t>2.2. Descrierea situației actuale și a problemelor care impun intervenția, inclusiv a cadrului normativ aplicabil și a deficiențelor/lacunelor normative</w:t>
            </w:r>
          </w:p>
        </w:tc>
      </w:tr>
      <w:tr w:rsidR="004F12D9" w:rsidRPr="00FA2CDE" w14:paraId="77D2AD5F" w14:textId="77777777" w:rsidTr="00E51E1F">
        <w:tc>
          <w:tcPr>
            <w:tcW w:w="5000" w:type="pct"/>
            <w:shd w:val="clear" w:color="auto" w:fill="FFFFFF"/>
            <w:tcMar>
              <w:top w:w="105" w:type="dxa"/>
              <w:left w:w="120" w:type="dxa"/>
              <w:bottom w:w="105" w:type="dxa"/>
              <w:right w:w="120" w:type="dxa"/>
            </w:tcMar>
          </w:tcPr>
          <w:p w14:paraId="5AF0B3B3"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Cadrul legal recunoaște dreptul consumatorilor eligibili de a compara ofertele de furnizare. Totuși, simpla consacrare a acestui drept nu este suficientă. Pentru exercitarea lui sunt necesare date comparabile, reguli uniforme de calcul și un punct unic de acces.</w:t>
            </w:r>
          </w:p>
          <w:p w14:paraId="5F2AB404"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În lipsa unui instrument unitar, informațiile privind ofertele pot fi publicate în locuri diferite și în formate diferite. Structura prețurilor, unitățile de măsură, perioada de valabilitate, teritoriul de aplicare, după caz, durata contractului și serviciile incluse pot fi prezentate neuniform. Consumatorul trebuie să identifice singur ofertele, să verifice actualitatea lor și să efectueze calcule care nu sunt întotdeauna comparabile. Această situație crește timpul și efortul necesar pentru alegerea furnizorului. Ea poate afecta și înțelegerea corectă a costului total estimat.</w:t>
            </w:r>
          </w:p>
          <w:p w14:paraId="0448DD11"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lastRenderedPageBreak/>
              <w:t>Problema este mai evidentă atunci când ofertele conțin prețuri variabile sau dinamice. În aceste cazuri, simpla afișare a unei valori nu explică formula, indicele de referință, periodicitatea actualizării, plafoanele, comisioanele și ipotezele utilizate. Fără reguli comune, rezultatele pot crea o aparență de comparabilitate, fără să reflecte aceleași componente de cost.</w:t>
            </w:r>
          </w:p>
          <w:p w14:paraId="7A557FF5"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În sectorul gazelor naturale există și necesitatea conversiei unitare între m³ și kWh. O regulă publică și aplicată uniform reduce riscul ca aceeași ofertă să fie evaluată diferit în funcție de unitatea de măsură utilizată.</w:t>
            </w:r>
          </w:p>
          <w:p w14:paraId="3D1ACF58"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O altă problemă privește actualitatea informațiilor. Un instrument de comparare este util numai dacă ofertele sunt prezentate la timp, actualizate la modificare, retrase la expirare și însoțite de data ultimei actualizări. Legea nr. 108/2016 impune expres furnizorilor obligația de prezentare și actualizare a ofertelor. Pentru aplicarea acestei obligații sunt necesare un canal electronic, câmpuri de date clare, evidența situației ofertelor și a evenimentelor de publicare, actualizare, retragere și expirare și reguli de verificare și publicare.</w:t>
            </w:r>
          </w:p>
          <w:p w14:paraId="489127D4"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Cadrul actual nu descrie, la nivel operațional, rolurile ANRE și ale furnizorilor în cadrul instrumentului. Nu sunt stabilite într-un act dedicat structura funcțională, obiectele informaționale, interfețele, modul de autentificare, mecanismul de prezentare a ofertelor, istoricul modificărilor, raportarea informațiilor incorecte, păstrarea datelor și cerințele de audit. Aceste elemente nu pot fi lăsate exclusiv la nivelul documentației tehnice. Ele influențează drepturile și obligațiile participanților și încrederea publicului în rezultatele comparării.</w:t>
            </w:r>
          </w:p>
          <w:p w14:paraId="03B1C716"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Caietul de sarcini oferă soluția tehnică inițială pentru aceste probleme. El prevede o platformă web unificată, două module funcționale, o interfață publică, un portal securizat pentru furnizori, o interfață de administrare pentru ANRE, autentificare prin MPass, găzduire în MCloud, date structurate, API-uri, istoric, audit, raportare, testare și cerințe de accesibilitate. Conceptul nu reproduce mecanic caietul de sarcini. El fixează elementele stabile care trebuie păstrate indiferent de tehnologia concretă folosită la dezvoltare.</w:t>
            </w:r>
          </w:p>
          <w:p w14:paraId="562F4D04"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Este necesară și o delimitare clară între accesul public și funcțiile nepublice. Compararea ofertelor trebuie să poată fi efectuată fără identificarea consumatorului. În același timp, accesul reprezentanților furnizorilor și al personalului ANRE la funcțiile de gestionare trebuie să se bazeze pe o identitate verificată, roluri determinate și jurnalizarea operațiunilor.</w:t>
            </w:r>
          </w:p>
          <w:p w14:paraId="6FAA6ADE"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Lipsa intervenției ar menține o diferență între dreptul recunoscut de lege și posibilitatea practică de exercitare a acestuia. Ar persista fragmentarea informațiilor și riscul unor comparații neuniforme. Totodată, ANRE nu ar executa integral obligațiile prevăzute la art. 113 alin. (3) din Legea nr. 164/2025 și art. 87¹ alin. (3) din Legea nr. 108/2016.</w:t>
            </w:r>
          </w:p>
        </w:tc>
      </w:tr>
      <w:tr w:rsidR="004F12D9" w:rsidRPr="00FA2CDE" w14:paraId="3045DD29" w14:textId="77777777" w:rsidTr="00E51E1F">
        <w:trPr>
          <w:cantSplit/>
        </w:trPr>
        <w:tc>
          <w:tcPr>
            <w:tcW w:w="5000" w:type="pct"/>
            <w:shd w:val="clear" w:color="auto" w:fill="BFBFBF"/>
            <w:tcMar>
              <w:top w:w="75" w:type="dxa"/>
              <w:left w:w="120" w:type="dxa"/>
              <w:bottom w:w="75" w:type="dxa"/>
              <w:right w:w="120" w:type="dxa"/>
            </w:tcMar>
            <w:vAlign w:val="center"/>
          </w:tcPr>
          <w:p w14:paraId="685216E9" w14:textId="77777777" w:rsidR="004F12D9" w:rsidRPr="00FA2CDE" w:rsidRDefault="004F12D9" w:rsidP="00E51E1F">
            <w:pPr>
              <w:spacing w:line="276" w:lineRule="auto"/>
              <w:rPr>
                <w:color w:val="000000" w:themeColor="text1"/>
                <w:lang w:val="ro-RO"/>
              </w:rPr>
            </w:pPr>
            <w:r w:rsidRPr="00FA2CDE">
              <w:rPr>
                <w:b/>
                <w:color w:val="000000" w:themeColor="text1"/>
                <w:lang w:val="ro-RO"/>
              </w:rPr>
              <w:lastRenderedPageBreak/>
              <w:t>3. Obiectivele urmărite și soluțiile propuse</w:t>
            </w:r>
          </w:p>
        </w:tc>
      </w:tr>
      <w:tr w:rsidR="004F12D9" w:rsidRPr="00FA2CDE" w14:paraId="1D9F0D50" w14:textId="77777777" w:rsidTr="00E51E1F">
        <w:trPr>
          <w:cantSplit/>
        </w:trPr>
        <w:tc>
          <w:tcPr>
            <w:tcW w:w="5000" w:type="pct"/>
            <w:shd w:val="clear" w:color="auto" w:fill="E7E6E6"/>
            <w:tcMar>
              <w:top w:w="75" w:type="dxa"/>
              <w:left w:w="120" w:type="dxa"/>
              <w:bottom w:w="75" w:type="dxa"/>
              <w:right w:w="120" w:type="dxa"/>
            </w:tcMar>
            <w:vAlign w:val="center"/>
          </w:tcPr>
          <w:p w14:paraId="034232AF" w14:textId="77777777" w:rsidR="004F12D9" w:rsidRPr="00FA2CDE" w:rsidRDefault="004F12D9" w:rsidP="00E51E1F">
            <w:pPr>
              <w:spacing w:line="276" w:lineRule="auto"/>
              <w:rPr>
                <w:color w:val="000000" w:themeColor="text1"/>
                <w:lang w:val="ro-RO"/>
              </w:rPr>
            </w:pPr>
            <w:r w:rsidRPr="00FA2CDE">
              <w:rPr>
                <w:i/>
                <w:color w:val="000000" w:themeColor="text1"/>
                <w:lang w:val="ro-RO"/>
              </w:rPr>
              <w:t>3.1. Principalele prevederi ale proiectului și evidențierea elementelor noi</w:t>
            </w:r>
          </w:p>
        </w:tc>
      </w:tr>
      <w:tr w:rsidR="004F12D9" w:rsidRPr="00FA2CDE" w14:paraId="694C6195" w14:textId="77777777" w:rsidTr="00E51E1F">
        <w:tc>
          <w:tcPr>
            <w:tcW w:w="5000" w:type="pct"/>
            <w:shd w:val="clear" w:color="auto" w:fill="FFFFFF"/>
            <w:tcMar>
              <w:top w:w="105" w:type="dxa"/>
              <w:left w:w="120" w:type="dxa"/>
              <w:bottom w:w="105" w:type="dxa"/>
              <w:right w:w="120" w:type="dxa"/>
            </w:tcMar>
          </w:tcPr>
          <w:p w14:paraId="79CE7035"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lastRenderedPageBreak/>
              <w:t>Obiectivul general este crearea unui instrument public, cu acces gratuit și neutru pentru compararea ofertelor de furnizare a energiei electrice și a gazelor naturale. Instrumentul trebuie să ofere consumatorilor informații exacte, actualizate și comparabile. El trebuie să reducă efortul necesar identificării unei oferte potrivite și să sprijine alegerea informată a furnizorului.</w:t>
            </w:r>
          </w:p>
          <w:p w14:paraId="7FB3904B" w14:textId="77777777" w:rsidR="004F12D9" w:rsidRPr="00FA2CDE" w:rsidRDefault="004F12D9" w:rsidP="00E51E1F">
            <w:pPr>
              <w:spacing w:line="276" w:lineRule="auto"/>
              <w:ind w:firstLine="567"/>
              <w:jc w:val="both"/>
              <w:rPr>
                <w:color w:val="000000" w:themeColor="text1"/>
                <w:lang w:val="ro-RO"/>
              </w:rPr>
            </w:pPr>
            <w:r>
              <w:rPr>
                <w:color w:val="000000" w:themeColor="text1"/>
                <w:lang w:val="ro-RO"/>
              </w:rPr>
              <w:t>Proiectul reglementează Sistemul informațional instituțional al ANRE „Instrumentul de comparare a ofertelor furnizorilor de gaze naturale și de energie electrică” (SI ICOF). ANRE este proprietarul SI ICOF și al resursei informaționale formate în cadrul acestuia, precum și persoana juridică ce operează și controlează instrumentul. Finanțarea se realizează din mijloacele aprobate în bugetul ANRE și din alte surse neinterzise de lege.</w:t>
            </w:r>
          </w:p>
          <w:p w14:paraId="26B394F1"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Prin proiect se aprobă două documente distincte – Conceptul SI ICOF și Regulamentul SI ICOF. Conceptul descrie scopul, obiectivele, principiile, funcțiile, structura organizațională, spațiul informațional și tehnologic, scenariile de bază și cerințele de securitate ale sistemului informațional. Regulamentul stabilește modul concret de organizare și funcționare, rolurile participanților, drepturile și obligațiile acestora și procedurile operaționale de bază în cadrul sistemului ca resursă informațională.</w:t>
            </w:r>
          </w:p>
          <w:p w14:paraId="5265B997"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SI ICOF este conceput ca o platformă unificată, cu două module funcționale distincte: „Energie electrică” și „Gaze naturale”. Funcțiile comune sunt administrate unitar. Datele, criteriile și regulile specifice fiecărui sector sunt gestionate separat. Această soluție evită duplicarea componentelor tehnice și păstrează particularitățile juridice și comerciale ale celor două piețe.</w:t>
            </w:r>
          </w:p>
          <w:p w14:paraId="238DC01B"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Soluția platformei unificate este justificată prin existența acelorași categorii de funcții în ambele sectoare: acces public gratuit, autentificare, gestionarea furnizorilor, administrarea ofertelor, raportare, sesizări, audit și securitate. Reutilizarea acestor componente reduce costurile de dezvoltare și mentenanță. Separarea logicii și a datelor specifice fiecărui modul previne amestecarea criteriilor și permite modificarea unui sector fără schimbarea nejustificată a celuilalt. Riscul ca o defecțiune a unei componente comune să afecteze ambele module este tratat prin arhitectură modulară, testare separată și integrată, reziliență și proceduri de continuitate.</w:t>
            </w:r>
          </w:p>
          <w:p w14:paraId="100F9504" w14:textId="77777777" w:rsidR="004F12D9" w:rsidRPr="00FA2CDE" w:rsidRDefault="004F12D9" w:rsidP="00E51E1F">
            <w:pPr>
              <w:spacing w:line="276" w:lineRule="auto"/>
              <w:ind w:firstLine="567"/>
              <w:jc w:val="both"/>
              <w:rPr>
                <w:color w:val="000000" w:themeColor="text1"/>
                <w:lang w:val="ro-RO"/>
              </w:rPr>
            </w:pPr>
            <w:r>
              <w:rPr>
                <w:color w:val="000000" w:themeColor="text1"/>
                <w:lang w:val="ro-RO"/>
              </w:rPr>
              <w:t>Sistemul include trei interfețe: interfața publică, portalul furnizorilor și interfața de administrare. Interfața publică este destinată consumatorilor. Portalul furnizorilor este destinat furnizorilor, care acționează prin reprezentanții lor împuterniciți. Interfața de administrare este destinată personalului autorizat al ANRE. Accesul la funcțiile publice nu presupune identificarea consumatorului. În cadrul aceleiași interfețe de administrare, funcțiile personalului ANRE sunt diferențiate prin rolurile de administrator SI ICOF, operator funcțional ANRE și auditor.</w:t>
            </w:r>
          </w:p>
          <w:p w14:paraId="40D47FB0"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Separarea interfețelor este justificată de scopurile diferite ale utilizatorilor. Consumatorul trebuie să compare rapid, fără cont și fără date de identificare. Furnizorul trebuie să poată modifica numai propriile oferte și documente. Personalul ANRE trebuie să poată exercita funcții de administrare și control potrivit atribuțiilor interne. Separarea reduce riscul accesului neautorizat și face mai clară responsabilitatea fiecărei acțiuni.</w:t>
            </w:r>
          </w:p>
          <w:p w14:paraId="3333567C"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 xml:space="preserve">Soluția nu creează o sarcină disproporționată pentru furnizori. Aceștia sunt persoane juridice care utilizează deja servicii electronice în relațiile cu autoritățile publice, inclusiv pentru raportarea fiscală. </w:t>
            </w:r>
            <w:r w:rsidRPr="00FA2CDE">
              <w:rPr>
                <w:color w:val="000000" w:themeColor="text1"/>
                <w:lang w:val="ro-RO"/>
              </w:rPr>
              <w:lastRenderedPageBreak/>
              <w:t>Pentru categoriile relevante de contribuabili, dările de seamă fiscale se prezintă prin metode automatizate de raportare electronică, iar documentele fiscale electronice se semnează electronic. Prin urmare, reprezentanții autorizați ai furnizorilor dispun, de regulă, de mijloace de autentificare acceptate de MPass. Utilizarea MPass reduce costurile de administrare, riscurile legate de păstrarea parolelor și necesitatea gestionării separate a identităților. Totodată, permite atribuirea, modificarea și retragerea controlată a drepturilor de acces.</w:t>
            </w:r>
          </w:p>
          <w:p w14:paraId="53899AD4"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Controlul accesului pe roluri permite aplicarea principiului potrivit căruia fiecare persoană primește numai drepturile necesare funcției sale. Revizuirea periodică a rolurilor este necesară pentru a evita menținerea accesului după schimbarea atribuțiilor sau încetarea împuternicirii.</w:t>
            </w:r>
          </w:p>
          <w:p w14:paraId="6105914D"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Proiectul instituie un flux de gestionare a ofertelor în care furnizorul prezintă oferta printr-un formular structurat, un fișier standardizat sau, după caz, o interfață API securizată. Sistemul verifică automat completarea câmpurilor obligatorii, respectarea formatelor și existența datelor necesare comparării. Reprezentantul furnizorului confirmă corectitudinea și caracterul complet al informațiilor. Dacă verificările automate sunt îndeplinite, oferta este publicată automat, fără examinarea, acceptarea sau aprobarea prealabilă de către personalul ANRE. Furnizorul răspunde pentru corectitudinea, caracterul complet, actualitatea și legalitatea informațiilor prezentate. Sistemul păstrează versiunile succesive și istoricul operațiunilor.</w:t>
            </w:r>
          </w:p>
          <w:p w14:paraId="2DA43275"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Datele structurate sunt necesare deoarece motorul de comparare nu poate calcula corect pe baza unor documente redactate liber. Câmpurile standardizate permit aplicarea aceleiași formule și verificarea automată a tipului, unității de măsură, perioadei și componentelor de preț. Documentele anexate păstrează sursa comercială completă. API-ul este justificat pentru furnizorii care gestionează datele în sisteme proprii. El reduce reintroducerea manuală și erorile repetitive și aplică aceleași verificări automate și același mecanism de publicare ca portalul furnizorilor.</w:t>
            </w:r>
          </w:p>
          <w:p w14:paraId="0F30732C"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Validarea de către ANRE se păstrează la prima înregistrare a furnizorului în SI ICOF, în scopul confirmării corespunderii acestuia cu titularul unei licențe valabile eliberate de ANRE pentru activitatea de furnizare în sectorul respectiv. Această verificare se efectuează o singură dată la activarea profilului furnizorului. Ofertele individuale nu sunt validate de personalul ANRE înainte de publicare, răspunderea pentru veridicitatea, corectitudinea și actualitatea informațiilor revenind furnizorului.</w:t>
            </w:r>
          </w:p>
          <w:p w14:paraId="50BF0918"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Compararea se efectuează după criterii clare, obiective și publice. Consumatorul indică domeniul, categoria de consumator, locul de consum, consumul anual estimat și preferințele relevante. Pentru energia electrică se ține cont, după caz, și de teritoriul de aplicare al ofertei. SI ICOF identifică ofertele valabile și aplicabile și calculează costul lunar și anual estimat. Ordonarea implicită se face în funcție de costul total estimat, în ordine crescătoare. Rezultatele sponsorizate și ordonarea bazată pe plăți sau avantaje sunt excluse.</w:t>
            </w:r>
          </w:p>
          <w:p w14:paraId="4BCCBAB4"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 xml:space="preserve">Calcularea costului total estimat este preferabilă comparării unui singur preț afișat. Ofertele pot include </w:t>
            </w:r>
            <w:r w:rsidRPr="00FA2CDE">
              <w:rPr>
                <w:i/>
                <w:iCs/>
                <w:color w:val="000000" w:themeColor="text1"/>
                <w:lang w:val="ro-RO"/>
              </w:rPr>
              <w:t>componente fixe</w:t>
            </w:r>
            <w:r w:rsidRPr="00FA2CDE">
              <w:rPr>
                <w:color w:val="000000" w:themeColor="text1"/>
                <w:lang w:val="ro-RO"/>
              </w:rPr>
              <w:t xml:space="preserve">, </w:t>
            </w:r>
            <w:r w:rsidRPr="00FA2CDE">
              <w:rPr>
                <w:i/>
                <w:iCs/>
                <w:color w:val="000000" w:themeColor="text1"/>
                <w:lang w:val="ro-RO"/>
              </w:rPr>
              <w:t>variabile</w:t>
            </w:r>
            <w:r w:rsidRPr="00FA2CDE">
              <w:rPr>
                <w:color w:val="000000" w:themeColor="text1"/>
                <w:lang w:val="ro-RO"/>
              </w:rPr>
              <w:t xml:space="preserve">, </w:t>
            </w:r>
            <w:r w:rsidRPr="00FA2CDE">
              <w:rPr>
                <w:i/>
                <w:iCs/>
                <w:color w:val="000000" w:themeColor="text1"/>
                <w:lang w:val="ro-RO"/>
              </w:rPr>
              <w:t>tarife de rețea</w:t>
            </w:r>
            <w:r w:rsidRPr="00FA2CDE">
              <w:rPr>
                <w:color w:val="000000" w:themeColor="text1"/>
                <w:lang w:val="ro-RO"/>
              </w:rPr>
              <w:t xml:space="preserve"> și </w:t>
            </w:r>
            <w:r w:rsidRPr="00FA2CDE">
              <w:rPr>
                <w:i/>
                <w:iCs/>
                <w:color w:val="000000" w:themeColor="text1"/>
                <w:lang w:val="ro-RO"/>
              </w:rPr>
              <w:t>condiții de aplicare diferite</w:t>
            </w:r>
            <w:r w:rsidRPr="00FA2CDE">
              <w:rPr>
                <w:color w:val="000000" w:themeColor="text1"/>
                <w:lang w:val="ro-RO"/>
              </w:rPr>
              <w:t xml:space="preserve">. Raportarea tuturor ofertelor la același consum și la aceleași ipoteze permite o comparație utilă. Publicarea formulelor și </w:t>
            </w:r>
            <w:r w:rsidRPr="00FA2CDE">
              <w:rPr>
                <w:color w:val="000000" w:themeColor="text1"/>
                <w:lang w:val="ro-RO"/>
              </w:rPr>
              <w:lastRenderedPageBreak/>
              <w:t>interzicerea rezultatelor sponsorizate protejează neutralitatea instrumentului și permit verificarea rezultatului.</w:t>
            </w:r>
          </w:p>
          <w:p w14:paraId="08237531"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Pentru ofertele de gaze naturale, sistemul afișează tipul și caracterul fix sau variabil al prețului, durata contractului, serviciile și condițiile comerciale, costul estimat și data actualizării. Furnizorul nu selectează teritoriul de aplicare, ofertele fiind aplicabile pe întreg teritoriul Republicii Moldova în care furnizarea poate fi realizată prin rețele de gaze naturale și operatori de sistem licențiați de ANRE. Raionul și localitatea rămân criterii selectate de consumator pentru identificarea locului de consum. Prețul pentru furnizare prin rețeaua de presiune corespunzătoare reprezintă prețul final achitat de consumator, iar tariful de distribuție și tariful de transport pot fi evidențiate distinct. Conversia între m³ și kWh se efectuează după o regulă stabilită de ANRE și publicată în interfața publică.</w:t>
            </w:r>
          </w:p>
          <w:p w14:paraId="53539E8F"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Pentru ofertele de energie electrică, sistemul afișează caracterul fix, variabil sau dinamic al prețului, serviciile incluse în ofertă, durata contractului, costul estimat și celelalte condiții relevante. În cazul ofertelor la preț dinamic, furnizorul prezintă formula de calcul, indicele sau piața de referință, periodicitatea actualizării, plafoanele, comisioanele și celelalte componente aplicabile, după caz. Interfața publică afișează informațiile necesare pentru înțelegerea modului de formare și actualizare a prețului, precum și datele, perioada și ipotezele utilizate la calcularea costului estimat. Estimarea este prezentată ca informație orientativă, nu ca un cost garantat.</w:t>
            </w:r>
          </w:p>
          <w:p w14:paraId="49F6B1E9"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Tratarea distinctă a ofertelor dinamice este justificată de volatilitatea lor. O valoare calculată pe baza datelor istorice sau a unei anumite perioade nu poate garanta costul viitor. Afișarea formulei, a sursei indicelui, a perioadei și a ipotezelor permite consumatorului să înțeleagă de ce rezultatul se poate modifica și împiedică prezentarea unei estimări drept preț cert.</w:t>
            </w:r>
          </w:p>
          <w:p w14:paraId="181408F2"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Proiectul prevede o procedură simplă pentru raportarea informațiilor presupus incorecte, incomplete, înșelătoare sau neconforme. Datele de contact ale persoanei care transmite sesizarea sunt opționale. Sesizarea este înregistrată, repartizată și examinată de personalul autorizat al ANRE. După caz, ANRE solicită furnizorului explicații sau corectarea informațiilor. Dacă există indicii că informațiile publicate sunt incorecte, incomplete, înșelătoare sau neactualizate, ANRE poate dispune oprirea temporară a afișării ofertei până la remedierea situației. Furnizorul corectează sau actualizează informațiile și retransmite oferta, iar după îndeplinirea verificărilor automate și dacă oferta este valabilă, SI ICOF reia afișarea acesteia. Acțiunile întreprinse și rezultatul examinării sesizării sunt înregistrate în SI ICOF.</w:t>
            </w:r>
          </w:p>
          <w:p w14:paraId="53A7E276"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Sistemul va genera rapoarte, va păstra istoricul ofertelor și va crea înregistrări de audit. Aceste funcții asigură trasabilitatea acțiunilor, verificarea modului de administrare a datelor și monitorizarea funcționării instrumentului.</w:t>
            </w:r>
          </w:p>
          <w:p w14:paraId="6AA7ABB2"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Păstrarea versiunilor este justificată prin necesitatea de a stabili ce informație a fost publicată la un anumit moment și cine a modificat-o. Ștergerea directă a unei oferte ar elimina această posibilitate și ar îngreuna examinarea sesizărilor. Jurnalul de audit completează istoricul prin înregistrarea autentificărilor, modificărilor, deciziilor și evenimentelor relevante. Jurnalul trebuie protejat împotriva modificării și nu trebuie să conțină parole ori date care nu sunt necesare scopului de audit.</w:t>
            </w:r>
          </w:p>
          <w:p w14:paraId="3D72BBE8"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lastRenderedPageBreak/>
              <w:t>Conceptul SI ICOF și Regulamentul SI ICOF includ cerințe privind securitatea sistemului prin proiectare, controlul accesului, protecția transmisiilor, validarea datelor, copiile de rezervă, monitorizarea incidentelor și testarea securității. Datele cu caracter personal sunt limitate la cele necesare autentificării, administrării rolurilor, comunicării și examinării sesizărilor atunci când persoana furnizează date de contact.</w:t>
            </w:r>
          </w:p>
          <w:p w14:paraId="759F90DD"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Aceste măsuri sunt justificate de profilul de risc al sistemului. Interfețele publice, încărcarea fișierelor și API-urile sunt puncte posibile de introducere a datelor nevalide sau de atac. Validarea obligatorie pe server împiedică ocolirea controalelor din interfața utilizatorului. Criptarea comunicațiilor protejează datele împotriva interceptării și modificării în tranzit. Testarea înainte de exploatare reduce riscul lansării cu vulnerabilități cunoscute. Copiile de rezervă și verificarea restaurării limitează efectele unei defecțiuni, erori umane sau compromiteri.</w:t>
            </w:r>
          </w:p>
          <w:p w14:paraId="05856979"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Găzduirea în infrastructura guvernamentală și utilizarea componentelor containerizate sunt prevăzute în Caietul de sarcini. Soluția facilitează administrarea într-un mediu instituțional comun și reproducerea controlată a mediilor de dezvoltare, testare și producție. Containerizarea nu elimină riscurile. Imaginile, bibliotecile și configurațiile trebuie actualizate și verificate, deoarece vulnerabilitățile componentelor terțe pot afecta întregul sistem.</w:t>
            </w:r>
          </w:p>
          <w:p w14:paraId="6A2BEBBF" w14:textId="77777777" w:rsidR="004F12D9" w:rsidRPr="00FA2CDE" w:rsidRDefault="004F12D9" w:rsidP="00E51E1F">
            <w:pPr>
              <w:spacing w:line="276" w:lineRule="auto"/>
              <w:ind w:firstLine="567"/>
              <w:jc w:val="both"/>
              <w:rPr>
                <w:color w:val="000000" w:themeColor="text1"/>
                <w:lang w:val="ro-RO"/>
              </w:rPr>
            </w:pPr>
            <w:r>
              <w:rPr>
                <w:color w:val="000000" w:themeColor="text1"/>
                <w:lang w:val="ro-RO"/>
              </w:rPr>
              <w:t>Accesibilitatea și aplicarea Modelului Unitar de Design sunt fundamentate pe cerințele art. 113 alin. (2) lit. f) din Legea nr. 164/2025 și ale art. 87¹ alin. (2) lit. f) din Legea nr. 108/2016, precum și pe soluțiile tehnice promovate prin Hotărârea Guvernului nr. 677/2025 și prin Modelul Unitar de Design aprobat de Agenția de Guvernare Electronică. Proiectul și designul SI ICOF vor fi coordonate cu Agenția de Guvernare Electronică. Instrumentul se adresează publicului larg, iar o interfață care poate fi percepută, operată și înțeleasă de persoane cu nevoi diferite asigură accesul efectiv la funcția de comparare.</w:t>
            </w:r>
          </w:p>
          <w:p w14:paraId="31FFDF58" w14:textId="77777777" w:rsidR="004F12D9" w:rsidRPr="00FA2CDE" w:rsidRDefault="004F12D9" w:rsidP="00E51E1F">
            <w:pPr>
              <w:spacing w:line="276" w:lineRule="auto"/>
              <w:ind w:firstLine="567"/>
              <w:jc w:val="both"/>
              <w:rPr>
                <w:color w:val="000000" w:themeColor="text1"/>
                <w:lang w:val="ro-RO"/>
              </w:rPr>
            </w:pPr>
            <w:r w:rsidRPr="00FA2CDE">
              <w:rPr>
                <w:color w:val="000000" w:themeColor="text1"/>
                <w:lang w:val="ro-RO"/>
              </w:rPr>
              <w:t>Deținerea de către ANRE a codului sursă, a documentației și a accesului administrativ la depozitul de cod sursă reduce dependența de un singur prestator. Ea permite auditarea, corectarea și dezvoltarea ulterioară de către un alt prestator, cu condiția existenței unei documentații complete și a unor tehnologii menținute.</w:t>
            </w:r>
          </w:p>
          <w:p w14:paraId="40280E75" w14:textId="77777777" w:rsidR="004F12D9" w:rsidRPr="00FA2CDE" w:rsidRDefault="004F12D9" w:rsidP="00E51E1F">
            <w:pPr>
              <w:spacing w:line="276" w:lineRule="auto"/>
              <w:ind w:firstLine="567"/>
              <w:jc w:val="both"/>
              <w:rPr>
                <w:color w:val="000000" w:themeColor="text1"/>
                <w:lang w:val="ro-RO"/>
              </w:rPr>
            </w:pPr>
            <w:r w:rsidRPr="00FA2CDE">
              <w:rPr>
                <w:i/>
                <w:iCs/>
                <w:color w:val="000000" w:themeColor="text1"/>
                <w:lang w:val="ro-RO"/>
              </w:rPr>
              <w:t>Rezultatele</w:t>
            </w:r>
            <w:r w:rsidRPr="00FA2CDE">
              <w:rPr>
                <w:color w:val="000000" w:themeColor="text1"/>
                <w:lang w:val="ro-RO"/>
              </w:rPr>
              <w:t xml:space="preserve"> urmărite de la data punerii în exploatare sunt: </w:t>
            </w:r>
          </w:p>
          <w:p w14:paraId="5BBF7006" w14:textId="77777777" w:rsidR="004F12D9" w:rsidRPr="00FA2CDE" w:rsidRDefault="004F12D9" w:rsidP="004F12D9">
            <w:pPr>
              <w:pStyle w:val="ListParagraph"/>
              <w:numPr>
                <w:ilvl w:val="0"/>
                <w:numId w:val="1"/>
              </w:numPr>
              <w:spacing w:after="0" w:line="276" w:lineRule="auto"/>
              <w:ind w:left="0" w:firstLine="567"/>
              <w:jc w:val="both"/>
              <w:rPr>
                <w:rFonts w:eastAsiaTheme="minorEastAsia"/>
                <w:color w:val="000000" w:themeColor="text1"/>
                <w:lang w:val="ro-RO"/>
              </w:rPr>
            </w:pPr>
            <w:r w:rsidRPr="00FA2CDE">
              <w:rPr>
                <w:color w:val="000000" w:themeColor="text1"/>
                <w:lang w:val="ro-RO"/>
              </w:rPr>
              <w:t xml:space="preserve">existența unui punct unic de acces pentru ambele sectoare; </w:t>
            </w:r>
          </w:p>
          <w:p w14:paraId="5A3987FF" w14:textId="77777777" w:rsidR="004F12D9" w:rsidRPr="00FA2CDE" w:rsidRDefault="004F12D9" w:rsidP="004F12D9">
            <w:pPr>
              <w:pStyle w:val="ListParagraph"/>
              <w:numPr>
                <w:ilvl w:val="0"/>
                <w:numId w:val="1"/>
              </w:numPr>
              <w:spacing w:after="0" w:line="276" w:lineRule="auto"/>
              <w:ind w:left="0" w:firstLine="567"/>
              <w:jc w:val="both"/>
              <w:rPr>
                <w:rFonts w:eastAsiaTheme="minorEastAsia"/>
                <w:color w:val="000000" w:themeColor="text1"/>
                <w:lang w:val="ro-RO"/>
              </w:rPr>
            </w:pPr>
            <w:r w:rsidRPr="00FA2CDE">
              <w:rPr>
                <w:color w:val="000000" w:themeColor="text1"/>
                <w:lang w:val="ro-RO"/>
              </w:rPr>
              <w:t xml:space="preserve">includerea ofertelor relevante și valabile; </w:t>
            </w:r>
          </w:p>
          <w:p w14:paraId="6C23181A" w14:textId="77777777" w:rsidR="004F12D9" w:rsidRPr="00FA2CDE" w:rsidRDefault="004F12D9" w:rsidP="004F12D9">
            <w:pPr>
              <w:pStyle w:val="ListParagraph"/>
              <w:numPr>
                <w:ilvl w:val="0"/>
                <w:numId w:val="1"/>
              </w:numPr>
              <w:spacing w:after="0" w:line="276" w:lineRule="auto"/>
              <w:ind w:left="0" w:firstLine="567"/>
              <w:jc w:val="both"/>
              <w:rPr>
                <w:rFonts w:eastAsiaTheme="minorEastAsia"/>
                <w:color w:val="000000" w:themeColor="text1"/>
                <w:lang w:val="ro-RO"/>
              </w:rPr>
            </w:pPr>
            <w:r w:rsidRPr="00FA2CDE">
              <w:rPr>
                <w:color w:val="000000" w:themeColor="text1"/>
                <w:lang w:val="ro-RO"/>
              </w:rPr>
              <w:t xml:space="preserve">aplicarea acelorași reguli ofertelor comparabile; </w:t>
            </w:r>
          </w:p>
          <w:p w14:paraId="19608ED1" w14:textId="77777777" w:rsidR="004F12D9" w:rsidRPr="00FA2CDE" w:rsidRDefault="004F12D9" w:rsidP="004F12D9">
            <w:pPr>
              <w:pStyle w:val="ListParagraph"/>
              <w:numPr>
                <w:ilvl w:val="0"/>
                <w:numId w:val="1"/>
              </w:numPr>
              <w:spacing w:after="0" w:line="276" w:lineRule="auto"/>
              <w:ind w:left="0" w:firstLine="567"/>
              <w:jc w:val="both"/>
              <w:rPr>
                <w:rFonts w:eastAsiaTheme="minorEastAsia"/>
                <w:color w:val="000000" w:themeColor="text1"/>
                <w:lang w:val="ro-RO"/>
              </w:rPr>
            </w:pPr>
            <w:r w:rsidRPr="00FA2CDE">
              <w:rPr>
                <w:color w:val="000000" w:themeColor="text1"/>
                <w:lang w:val="ro-RO"/>
              </w:rPr>
              <w:t xml:space="preserve">afișarea datei actualizării; posibilitatea raportării erorilor; </w:t>
            </w:r>
          </w:p>
          <w:p w14:paraId="285394A9" w14:textId="77777777" w:rsidR="004F12D9" w:rsidRPr="00FA2CDE" w:rsidRDefault="004F12D9" w:rsidP="004F12D9">
            <w:pPr>
              <w:pStyle w:val="ListParagraph"/>
              <w:numPr>
                <w:ilvl w:val="0"/>
                <w:numId w:val="1"/>
              </w:numPr>
              <w:spacing w:after="0" w:line="276" w:lineRule="auto"/>
              <w:ind w:left="0" w:firstLine="567"/>
              <w:jc w:val="both"/>
              <w:rPr>
                <w:rFonts w:eastAsiaTheme="minorEastAsia"/>
                <w:color w:val="000000" w:themeColor="text1"/>
                <w:lang w:val="ro-RO"/>
              </w:rPr>
            </w:pPr>
            <w:r w:rsidRPr="00FA2CDE">
              <w:rPr>
                <w:color w:val="000000" w:themeColor="text1"/>
                <w:lang w:val="ro-RO"/>
              </w:rPr>
              <w:t xml:space="preserve">păstrarea istoricului ofertelor; accesibilitatea pentru persoanele cu dizabilități; </w:t>
            </w:r>
          </w:p>
          <w:p w14:paraId="297ADBBB" w14:textId="77777777" w:rsidR="004F12D9" w:rsidRPr="00FA2CDE" w:rsidRDefault="004F12D9" w:rsidP="004F12D9">
            <w:pPr>
              <w:pStyle w:val="ListParagraph"/>
              <w:numPr>
                <w:ilvl w:val="0"/>
                <w:numId w:val="1"/>
              </w:numPr>
              <w:spacing w:after="0" w:line="276" w:lineRule="auto"/>
              <w:ind w:left="0" w:firstLine="567"/>
              <w:jc w:val="both"/>
              <w:rPr>
                <w:color w:val="000000" w:themeColor="text1"/>
                <w:lang w:val="ro-RO"/>
              </w:rPr>
            </w:pPr>
            <w:r w:rsidRPr="00FA2CDE">
              <w:rPr>
                <w:color w:val="000000" w:themeColor="text1"/>
                <w:lang w:val="ro-RO"/>
              </w:rPr>
              <w:t>și reducerea prelucrării datelor consumatorilor la minimum necesar.</w:t>
            </w:r>
          </w:p>
        </w:tc>
      </w:tr>
      <w:tr w:rsidR="004F12D9" w:rsidRPr="00FA2CDE" w14:paraId="23F0E795" w14:textId="77777777" w:rsidTr="00E51E1F">
        <w:trPr>
          <w:cantSplit/>
        </w:trPr>
        <w:tc>
          <w:tcPr>
            <w:tcW w:w="5000" w:type="pct"/>
            <w:shd w:val="clear" w:color="auto" w:fill="E7E6E6"/>
            <w:tcMar>
              <w:top w:w="75" w:type="dxa"/>
              <w:left w:w="120" w:type="dxa"/>
              <w:bottom w:w="75" w:type="dxa"/>
              <w:right w:w="120" w:type="dxa"/>
            </w:tcMar>
            <w:vAlign w:val="center"/>
          </w:tcPr>
          <w:p w14:paraId="32488A5D" w14:textId="77777777" w:rsidR="004F12D9" w:rsidRPr="00FA2CDE" w:rsidRDefault="004F12D9" w:rsidP="00E51E1F">
            <w:pPr>
              <w:spacing w:line="276" w:lineRule="auto"/>
              <w:rPr>
                <w:color w:val="000000" w:themeColor="text1"/>
                <w:lang w:val="ro-RO"/>
              </w:rPr>
            </w:pPr>
            <w:r w:rsidRPr="00FA2CDE">
              <w:rPr>
                <w:i/>
                <w:color w:val="000000" w:themeColor="text1"/>
                <w:lang w:val="ro-RO"/>
              </w:rPr>
              <w:lastRenderedPageBreak/>
              <w:t>3.2. Opțiunile alternative analizate și motivele pentru care acestea nu au fost luate în considerare</w:t>
            </w:r>
          </w:p>
        </w:tc>
      </w:tr>
      <w:tr w:rsidR="004F12D9" w:rsidRPr="00FA2CDE" w14:paraId="46BC3F0D" w14:textId="77777777" w:rsidTr="00E51E1F">
        <w:tc>
          <w:tcPr>
            <w:tcW w:w="5000" w:type="pct"/>
            <w:shd w:val="clear" w:color="auto" w:fill="FFFFFF"/>
            <w:tcMar>
              <w:top w:w="105" w:type="dxa"/>
              <w:left w:w="120" w:type="dxa"/>
              <w:bottom w:w="105" w:type="dxa"/>
              <w:right w:w="120" w:type="dxa"/>
            </w:tcMar>
          </w:tcPr>
          <w:p w14:paraId="6BF0F1C7"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 xml:space="preserve">Prima opțiune analizată este lipsa intervenției. Aceasta nu este viabilă, întrucât art. 113 alin. (3) din Legea nr. 164/2025 și art. 87¹ alin. (3) din Legea nr. 108/2016 instituie obligații exprese pentru </w:t>
            </w:r>
            <w:r w:rsidRPr="00FA2CDE">
              <w:rPr>
                <w:color w:val="000000" w:themeColor="text1"/>
                <w:lang w:val="ro-RO"/>
              </w:rPr>
              <w:lastRenderedPageBreak/>
              <w:t>ANRE. Neintervenția ar menține fragmentarea informațiilor și nu ar asigura accesul efectiv la instrumentul prevăzut de lege.</w:t>
            </w:r>
          </w:p>
          <w:p w14:paraId="15785768"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A doua opțiune este publicarea unei liste de legături către paginile furnizorilor. O asemenea listă ar facilita doar identificarea surselor. Ea nu ar uniformiza structura ofertelor, nu ar calcula costul estimat și nu ar asigura aplicarea acelorași criterii. Consumatorul ar continua să compare manual informații prezentate în formate diferite.</w:t>
            </w:r>
          </w:p>
          <w:p w14:paraId="44BDEADA"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A treia opțiune este crearea a două instrumente complet separate, câte unul pentru fiecare sector. Soluția ar dubla funcțiile comune de autentificare, administrare, raportare, audit, securitate și mentenanță. Ar crește costurile și ar fragmenta experiența utilizatorului. Platforma unificată, cu module distincte, este mai eficientă și permite păstrarea regulilor specifice fiecărui sector.</w:t>
            </w:r>
          </w:p>
          <w:p w14:paraId="44E77E45"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A patra opțiune este utilizarea exclusivă a unor instrumente private. Legea permite existența acestora în sectorul energiei electrice, însă nu înlocuiește obligația ANRE de a dezvolta propriul instrument. În plus, instrumentul public trebuie să asigure neutralitatea, tratamentul egal, acoperirea pieței și transparența finanțării.</w:t>
            </w:r>
          </w:p>
          <w:p w14:paraId="7FE3E512"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A cincea opțiune este dezvoltarea exclusiv tehnică a unui portal, fără concept și regulament. Aceasta nu ar delimita suficient rolurile, drepturile și obligațiile participanților. Nu ar oferi un temei clar pentru colectarea și gestionarea datelor, publicarea și actualizarea ofertelor, jurnalizarea acțiunilor și păstrarea informațiilor. Soluția propusă, însă, combină cadrul normativ cu documentația tehnică și reduce riscurile de aplicare neuniformă.</w:t>
            </w:r>
          </w:p>
          <w:p w14:paraId="64D7D2BB" w14:textId="77777777" w:rsidR="004F12D9" w:rsidRPr="00FA2CDE" w:rsidRDefault="004F12D9" w:rsidP="00E51E1F">
            <w:pPr>
              <w:spacing w:line="276" w:lineRule="auto"/>
              <w:ind w:firstLine="589"/>
              <w:jc w:val="both"/>
              <w:rPr>
                <w:color w:val="000000" w:themeColor="text1"/>
                <w:lang w:val="ro-RO"/>
              </w:rPr>
            </w:pPr>
            <w:r>
              <w:rPr>
                <w:color w:val="000000" w:themeColor="text1"/>
                <w:lang w:val="ro-RO"/>
              </w:rPr>
              <w:t>Opțiunea selectată este dezvoltarea unui sistem informațional instituțional unic al ANRE, reglementat prin Conceptul SI ICOF și Regulamentul SI ICOF, cu module separate pentru energie electrică și gaze naturale. Soluția execută direct obligațiile legale ale ANRE, reutilizează componentele tehnice comune și păstrează diferențele dintre cele două piețe.</w:t>
            </w:r>
          </w:p>
        </w:tc>
      </w:tr>
      <w:tr w:rsidR="004F12D9" w:rsidRPr="00FA2CDE" w14:paraId="29400049" w14:textId="77777777" w:rsidTr="00E51E1F">
        <w:trPr>
          <w:cantSplit/>
        </w:trPr>
        <w:tc>
          <w:tcPr>
            <w:tcW w:w="5000" w:type="pct"/>
            <w:shd w:val="clear" w:color="auto" w:fill="BFBFBF"/>
            <w:tcMar>
              <w:top w:w="75" w:type="dxa"/>
              <w:left w:w="120" w:type="dxa"/>
              <w:bottom w:w="75" w:type="dxa"/>
              <w:right w:w="120" w:type="dxa"/>
            </w:tcMar>
            <w:vAlign w:val="center"/>
          </w:tcPr>
          <w:p w14:paraId="3ECBBDE0" w14:textId="77777777" w:rsidR="004F12D9" w:rsidRPr="00FA2CDE" w:rsidRDefault="004F12D9" w:rsidP="00E51E1F">
            <w:pPr>
              <w:spacing w:line="276" w:lineRule="auto"/>
              <w:rPr>
                <w:color w:val="000000" w:themeColor="text1"/>
                <w:lang w:val="ro-RO"/>
              </w:rPr>
            </w:pPr>
            <w:r w:rsidRPr="00FA2CDE">
              <w:rPr>
                <w:b/>
                <w:color w:val="000000" w:themeColor="text1"/>
                <w:lang w:val="ro-RO"/>
              </w:rPr>
              <w:lastRenderedPageBreak/>
              <w:t>4. Analiza impactului de reglementare</w:t>
            </w:r>
          </w:p>
        </w:tc>
      </w:tr>
      <w:tr w:rsidR="004F12D9" w:rsidRPr="00FA2CDE" w14:paraId="1AF00025" w14:textId="77777777" w:rsidTr="00E51E1F">
        <w:trPr>
          <w:cantSplit/>
        </w:trPr>
        <w:tc>
          <w:tcPr>
            <w:tcW w:w="5000" w:type="pct"/>
            <w:shd w:val="clear" w:color="auto" w:fill="E7E6E6"/>
            <w:tcMar>
              <w:top w:w="75" w:type="dxa"/>
              <w:left w:w="120" w:type="dxa"/>
              <w:bottom w:w="75" w:type="dxa"/>
              <w:right w:w="120" w:type="dxa"/>
            </w:tcMar>
            <w:vAlign w:val="center"/>
          </w:tcPr>
          <w:p w14:paraId="1757B60E" w14:textId="77777777" w:rsidR="004F12D9" w:rsidRPr="00FA2CDE" w:rsidRDefault="004F12D9" w:rsidP="00E51E1F">
            <w:pPr>
              <w:spacing w:line="276" w:lineRule="auto"/>
              <w:rPr>
                <w:color w:val="000000" w:themeColor="text1"/>
                <w:lang w:val="ro-RO"/>
              </w:rPr>
            </w:pPr>
            <w:r w:rsidRPr="00FA2CDE">
              <w:rPr>
                <w:i/>
                <w:color w:val="000000" w:themeColor="text1"/>
                <w:lang w:val="ro-RO"/>
              </w:rPr>
              <w:t>4.1. Impactul asupra sectorului public</w:t>
            </w:r>
          </w:p>
        </w:tc>
      </w:tr>
      <w:tr w:rsidR="004F12D9" w:rsidRPr="00FA2CDE" w14:paraId="4FFE1CCB" w14:textId="77777777" w:rsidTr="00E51E1F">
        <w:tc>
          <w:tcPr>
            <w:tcW w:w="5000" w:type="pct"/>
            <w:shd w:val="clear" w:color="auto" w:fill="FFFFFF"/>
            <w:tcMar>
              <w:top w:w="105" w:type="dxa"/>
              <w:left w:w="120" w:type="dxa"/>
              <w:bottom w:w="105" w:type="dxa"/>
              <w:right w:w="120" w:type="dxa"/>
            </w:tcMar>
          </w:tcPr>
          <w:p w14:paraId="044242BE"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Impactul principal asupra sectorului public revine ANRE. Instituția va organiza dezvoltarea, testarea, punerea în exploatare, administrarea, mentenanța, securitatea și dezvoltarea ulterioară a SI ICOF. Aceste sarcini se încadrează în competențele legale existente privind reglementarea piețelor, protecția consumatorilor și dezvoltarea instrumentelor de comparare.</w:t>
            </w:r>
          </w:p>
          <w:p w14:paraId="7D072872"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nu creează o autoritate publică nouă și nu transferă competențe între instituții. El structurează exercitarea unei atribuții deja stabilite de lege. La nivel intern, ANRE va trebui să desemneze subdiviziunile și persoanele responsabile pentru administrarea funcțională și tehnică, validarea furnizorilor la prima înregistrare, gestionarea accesului, monitorizarea ofertelor publicate, examinarea sesizărilor, securitate și monitorizare.</w:t>
            </w:r>
          </w:p>
          <w:p w14:paraId="16A78AD0"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lastRenderedPageBreak/>
              <w:t>Pe termen scurt, impactul constă în elaborarea cerințelor tehnice, contractarea dezvoltării sau configurarea soluției, integrarea serviciilor guvernamentale, instruirea personalului și organizarea fluxurilor interne. Pe termen mediu și lung, sistemul va reduce operațiunile dispersate și va crea o sursă unică de date pentru monitorizarea ofertelor de pe piețele cu amănuntul.</w:t>
            </w:r>
          </w:p>
          <w:p w14:paraId="34850888"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Autentificarea prin MPass și preluarea, prin MConnect, a datelor oficiale privind furnizorii și licențele din SIA GEAP vor reduce introducerea manuală a informațiilor și riscul de neconcordanță.</w:t>
            </w:r>
          </w:p>
          <w:p w14:paraId="6EA5215F"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Impactul instituțional este proporțional. Funcțiile noi au caracter operațional și tehnic. Ele nu modifică statutul ANRE și nu necesită crearea unei structuri administrative separate prin actul propus. Necesarul concret de personal va fi stabilit în funcție de soluția tehnică, volumul ofertelor și modelul de mentenanță.</w:t>
            </w:r>
          </w:p>
        </w:tc>
      </w:tr>
      <w:tr w:rsidR="004F12D9" w:rsidRPr="00FA2CDE" w14:paraId="316C2EA2" w14:textId="77777777" w:rsidTr="00E51E1F">
        <w:trPr>
          <w:cantSplit/>
        </w:trPr>
        <w:tc>
          <w:tcPr>
            <w:tcW w:w="5000" w:type="pct"/>
            <w:shd w:val="clear" w:color="auto" w:fill="E7E6E6"/>
            <w:tcMar>
              <w:top w:w="75" w:type="dxa"/>
              <w:left w:w="120" w:type="dxa"/>
              <w:bottom w:w="75" w:type="dxa"/>
              <w:right w:w="120" w:type="dxa"/>
            </w:tcMar>
            <w:vAlign w:val="center"/>
          </w:tcPr>
          <w:p w14:paraId="62A36525" w14:textId="77777777" w:rsidR="004F12D9" w:rsidRPr="00FA2CDE" w:rsidRDefault="004F12D9" w:rsidP="00E51E1F">
            <w:pPr>
              <w:spacing w:line="276" w:lineRule="auto"/>
              <w:rPr>
                <w:color w:val="000000" w:themeColor="text1"/>
                <w:lang w:val="ro-RO"/>
              </w:rPr>
            </w:pPr>
            <w:r w:rsidRPr="00FA2CDE">
              <w:rPr>
                <w:i/>
                <w:color w:val="000000" w:themeColor="text1"/>
                <w:lang w:val="ro-RO"/>
              </w:rPr>
              <w:lastRenderedPageBreak/>
              <w:t>4.2. Impactul financiar și argumentarea costurilor estimative</w:t>
            </w:r>
          </w:p>
        </w:tc>
      </w:tr>
      <w:tr w:rsidR="004F12D9" w:rsidRPr="00FA2CDE" w14:paraId="558F4620" w14:textId="77777777" w:rsidTr="00E51E1F">
        <w:tc>
          <w:tcPr>
            <w:tcW w:w="5000" w:type="pct"/>
            <w:shd w:val="clear" w:color="auto" w:fill="FFFFFF"/>
            <w:tcMar>
              <w:top w:w="105" w:type="dxa"/>
              <w:left w:w="120" w:type="dxa"/>
              <w:bottom w:w="105" w:type="dxa"/>
              <w:right w:w="120" w:type="dxa"/>
            </w:tcMar>
          </w:tcPr>
          <w:p w14:paraId="1E45CFCD"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Aprobarea proiectului nu stabilește plăți, taxe sau transferuri din bugetul de stat către consumatori ori furnizori. Accesul consumatorilor la funcțiile publice de comparare este gratuit.</w:t>
            </w:r>
          </w:p>
          <w:p w14:paraId="7741A1DE"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Cheltuielile sunt legate de crearea și exploatarea SI ICOF. Ele pot include analiza și proiectarea tehnică, dezvoltarea sau configurarea aplicației, infrastructura de găzduire, integrarea cu servicii guvernamentale, testarea funcțională și de securitate, migrarea sau încărcarea datelor inițiale, instruirea utilizatorilor, mentenanța, suportul și dezvoltarea ulterioară.</w:t>
            </w:r>
          </w:p>
          <w:p w14:paraId="2BEBBCE8" w14:textId="77777777" w:rsidR="004F12D9" w:rsidRPr="00FA2CDE" w:rsidRDefault="004F12D9" w:rsidP="00E51E1F">
            <w:pPr>
              <w:spacing w:line="276" w:lineRule="auto"/>
              <w:ind w:firstLine="589"/>
              <w:jc w:val="both"/>
              <w:rPr>
                <w:color w:val="000000" w:themeColor="text1"/>
                <w:lang w:val="ro-RO"/>
              </w:rPr>
            </w:pPr>
            <w:r>
              <w:rPr>
                <w:color w:val="000000" w:themeColor="text1"/>
                <w:lang w:val="ro-RO"/>
              </w:rPr>
              <w:t>Finanțarea dezvoltării, implementării și exploatării SI ICOF urmează să fie asigurată din mijloacele aprobate în bugetul ANRE, precum și din alte surse neinterzise de lege. O parte din cheltuielile aferente documentării și dezvoltării SI ICOF este acoperită din sprijinul acordat prin Programul PNUD Moldova „Accelerarea unei tranziții energetice echitabile în Republica Moldova” (JET). Valoarea exactă depinde de arhitectura tehnică selectată, volumul integrărilor, modelul de găzduire, cerințele caietului de sarcini și rezultatele procedurilor de achiziție. Estimarea financiară urmează să fie fundamentată pe componente și perioade înainte de asumarea cheltuielilor.</w:t>
            </w:r>
          </w:p>
          <w:p w14:paraId="0DBAE27B"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Utilizarea unei platforme unificate pentru ambele sectoare permite reutilizarea componentelor comune. Aceasta reduce costurile în comparație cu dezvoltarea și mentenanța a două sisteme independente. Integrarea cu sursele oficiale de date poate reduce și costurile administrative generate de actualizarea manuală și verificările repetate.</w:t>
            </w:r>
          </w:p>
        </w:tc>
      </w:tr>
      <w:tr w:rsidR="004F12D9" w:rsidRPr="00FA2CDE" w14:paraId="3CE11186" w14:textId="77777777" w:rsidTr="00E51E1F">
        <w:trPr>
          <w:cantSplit/>
        </w:trPr>
        <w:tc>
          <w:tcPr>
            <w:tcW w:w="5000" w:type="pct"/>
            <w:shd w:val="clear" w:color="auto" w:fill="E7E6E6"/>
            <w:tcMar>
              <w:top w:w="75" w:type="dxa"/>
              <w:left w:w="120" w:type="dxa"/>
              <w:bottom w:w="75" w:type="dxa"/>
              <w:right w:w="120" w:type="dxa"/>
            </w:tcMar>
            <w:vAlign w:val="center"/>
          </w:tcPr>
          <w:p w14:paraId="7482115D" w14:textId="77777777" w:rsidR="004F12D9" w:rsidRPr="00FA2CDE" w:rsidRDefault="004F12D9" w:rsidP="00E51E1F">
            <w:pPr>
              <w:spacing w:line="276" w:lineRule="auto"/>
              <w:rPr>
                <w:color w:val="000000" w:themeColor="text1"/>
                <w:lang w:val="ro-RO"/>
              </w:rPr>
            </w:pPr>
            <w:r w:rsidRPr="00FA2CDE">
              <w:rPr>
                <w:i/>
                <w:color w:val="000000" w:themeColor="text1"/>
                <w:lang w:val="ro-RO"/>
              </w:rPr>
              <w:t>4.3. Impactul asupra sectorului privat</w:t>
            </w:r>
          </w:p>
        </w:tc>
      </w:tr>
      <w:tr w:rsidR="004F12D9" w:rsidRPr="00FA2CDE" w14:paraId="20798507" w14:textId="77777777" w:rsidTr="00E51E1F">
        <w:tc>
          <w:tcPr>
            <w:tcW w:w="5000" w:type="pct"/>
            <w:shd w:val="clear" w:color="auto" w:fill="FFFFFF"/>
            <w:tcMar>
              <w:top w:w="105" w:type="dxa"/>
              <w:left w:w="120" w:type="dxa"/>
              <w:bottom w:w="105" w:type="dxa"/>
              <w:right w:w="120" w:type="dxa"/>
            </w:tcMar>
          </w:tcPr>
          <w:p w14:paraId="216A1B85"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afectează direct furnizorii de energie electrică și de gaze naturale care publică oferte pentru categoriile de consumatori eligibile. Aceștia vor utiliza portalul furnizorilor sau interfețele API pentru prezentarea, confirmarea și actualizarea ofertelor.</w:t>
            </w:r>
          </w:p>
          <w:p w14:paraId="7EAE8EFC"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 xml:space="preserve">Obligația furnizorilor de gaze naturale de a prezenta ANRE ofertele relevante și de a actualiza informațiile este prevăzută expres la art. 87¹ alin. (4) din Legea nr. 108/2016. Pentru energia electrică, </w:t>
            </w:r>
            <w:r w:rsidRPr="00FA2CDE">
              <w:rPr>
                <w:color w:val="000000" w:themeColor="text1"/>
                <w:lang w:val="ro-RO"/>
              </w:rPr>
              <w:lastRenderedPageBreak/>
              <w:t>măsurile propuse sunt legate de obligația ANRE de a asigura un instrument care acoperă piața și de competența sa de reglementare a furnizării.</w:t>
            </w:r>
          </w:p>
          <w:p w14:paraId="09B0594E"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Costurile de conformare sunt în principal administrative. Ele privesc desemnarea reprezentanților, completarea câmpurilor standardizate, anexarea documentelor, verificarea datelor și actualizarea lor la modificarea ofertei. Nu se instituie taxe pentru utilizarea sistemului. Utilizarea formularelor standardizate și posibilitatea integrării prin API limitează sarcina repetitivă, în special pentru furnizorii care gestionează mai multe oferte.</w:t>
            </w:r>
          </w:p>
          <w:p w14:paraId="4D5EAD46"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Impactul asupra întreprinderilor mici este proporțional cu volumul activității lor. Cerințele se aplică uniform, însă volumul efectiv de date depinde de numărul ofertelor. Proiectul hotărârii nu solicită dezvoltarea obligatorie a unui sistem propriu de către furnizor. Ofertele pot fi prezentate prin interfața pusă la dispoziție de ANRE.</w:t>
            </w:r>
          </w:p>
          <w:p w14:paraId="442A2927"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Impactul asupra concurenței este pozitiv. Ofertele sunt prezentate după aceleași criterii, fără rezultate sponsorizate și fără favorizarea unui furnizor. Furnizorii pot concura prin preț, servicii și condiții comerciale care devin mai ușor de observat. Furnizorii cu o cotă de piață mai mică pot beneficia de aceeași vizibilitate în rezultatele comparării, dacă ofertele lor corespund criteriilor selectate de consumator.</w:t>
            </w:r>
          </w:p>
        </w:tc>
      </w:tr>
      <w:tr w:rsidR="004F12D9" w:rsidRPr="00FA2CDE" w14:paraId="6C4351AF" w14:textId="77777777" w:rsidTr="00E51E1F">
        <w:trPr>
          <w:cantSplit/>
        </w:trPr>
        <w:tc>
          <w:tcPr>
            <w:tcW w:w="5000" w:type="pct"/>
            <w:shd w:val="clear" w:color="auto" w:fill="E7E6E6"/>
            <w:tcMar>
              <w:top w:w="75" w:type="dxa"/>
              <w:left w:w="120" w:type="dxa"/>
              <w:bottom w:w="75" w:type="dxa"/>
              <w:right w:w="120" w:type="dxa"/>
            </w:tcMar>
            <w:vAlign w:val="center"/>
          </w:tcPr>
          <w:p w14:paraId="70F1186F" w14:textId="77777777" w:rsidR="004F12D9" w:rsidRPr="00FA2CDE" w:rsidRDefault="004F12D9" w:rsidP="00E51E1F">
            <w:pPr>
              <w:spacing w:line="276" w:lineRule="auto"/>
              <w:rPr>
                <w:color w:val="000000" w:themeColor="text1"/>
                <w:lang w:val="ro-RO"/>
              </w:rPr>
            </w:pPr>
            <w:r w:rsidRPr="00FA2CDE">
              <w:rPr>
                <w:i/>
                <w:color w:val="000000" w:themeColor="text1"/>
                <w:lang w:val="ro-RO"/>
              </w:rPr>
              <w:lastRenderedPageBreak/>
              <w:t>4.4. Impactul social</w:t>
            </w:r>
          </w:p>
        </w:tc>
      </w:tr>
      <w:tr w:rsidR="004F12D9" w:rsidRPr="00FA2CDE" w14:paraId="7604A27C" w14:textId="77777777" w:rsidTr="00E51E1F">
        <w:tc>
          <w:tcPr>
            <w:tcW w:w="5000" w:type="pct"/>
            <w:shd w:val="clear" w:color="auto" w:fill="FFFFFF"/>
            <w:tcMar>
              <w:top w:w="105" w:type="dxa"/>
              <w:left w:w="120" w:type="dxa"/>
              <w:bottom w:w="105" w:type="dxa"/>
              <w:right w:w="120" w:type="dxa"/>
            </w:tcMar>
          </w:tcPr>
          <w:p w14:paraId="6DA18E0C"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Impactul social este preponderent pozitiv. Beneficiarii direcți sunt consumatorii casnici și categoriile de consumatori noncasnici prevăzute de legile sectoriale. Ei vor putea identifica într-un singur loc ofertele aplicabile și costurile estimate.</w:t>
            </w:r>
          </w:p>
          <w:p w14:paraId="69D35CB7"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Instrumentul reduce asimetria informațională dintre furnizori și consumatori. Limbajul clar, afișarea componentelor relevante și publicarea criteriilor de comparare sporesc capacitatea consumatorului de a evalua opțiunile. Acest efect este important pentru persoanele care nu au cunoștințe tehnice sau juridice în domeniul energiei.</w:t>
            </w:r>
          </w:p>
          <w:p w14:paraId="6C98CA25"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Accesibilitatea pentru persoanele cu dizabilități este prevăzută ca principiu și cerință funcțională. Accesul gratuit și lipsa identificării pentru funcția de comparare reduc barierele de utilizare. Pentru persoanele care nu utilizează frecvent servicii digitale poate rămâne necesară informarea publică și asistența prin canalele obișnuite ale ANRE.</w:t>
            </w:r>
          </w:p>
          <w:p w14:paraId="3C8FDC56"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nu modifică dreptul consumatorului de a alege sau de a schimba furnizorul. Rezultatele au caracter informativ. Înainte de contractare, consumatorul va verifica documentele și condițiile comerciale ale furnizorului. Această precizare limitează riscul ca estimarea automată să fie confundată cu o ofertă contractuală garantată.</w:t>
            </w:r>
          </w:p>
        </w:tc>
      </w:tr>
      <w:tr w:rsidR="004F12D9" w:rsidRPr="00FA2CDE" w14:paraId="17C86923" w14:textId="77777777" w:rsidTr="00E51E1F">
        <w:trPr>
          <w:cantSplit/>
        </w:trPr>
        <w:tc>
          <w:tcPr>
            <w:tcW w:w="5000" w:type="pct"/>
            <w:shd w:val="clear" w:color="auto" w:fill="E7E6E6"/>
            <w:tcMar>
              <w:top w:w="75" w:type="dxa"/>
              <w:left w:w="120" w:type="dxa"/>
              <w:bottom w:w="75" w:type="dxa"/>
              <w:right w:w="120" w:type="dxa"/>
            </w:tcMar>
            <w:vAlign w:val="center"/>
          </w:tcPr>
          <w:p w14:paraId="2ADA67AF" w14:textId="77777777" w:rsidR="004F12D9" w:rsidRPr="00FA2CDE" w:rsidRDefault="004F12D9" w:rsidP="00E51E1F">
            <w:pPr>
              <w:spacing w:line="276" w:lineRule="auto"/>
              <w:rPr>
                <w:color w:val="000000" w:themeColor="text1"/>
                <w:lang w:val="ro-RO"/>
              </w:rPr>
            </w:pPr>
            <w:r w:rsidRPr="00FA2CDE">
              <w:rPr>
                <w:i/>
                <w:color w:val="000000" w:themeColor="text1"/>
                <w:lang w:val="ro-RO"/>
              </w:rPr>
              <w:t>4.4.1. Impactul asupra datelor cu caracter personal</w:t>
            </w:r>
          </w:p>
        </w:tc>
      </w:tr>
      <w:tr w:rsidR="004F12D9" w:rsidRPr="00FA2CDE" w14:paraId="615EFE93" w14:textId="77777777" w:rsidTr="00E51E1F">
        <w:tc>
          <w:tcPr>
            <w:tcW w:w="5000" w:type="pct"/>
            <w:shd w:val="clear" w:color="auto" w:fill="FFFFFF"/>
            <w:tcMar>
              <w:top w:w="105" w:type="dxa"/>
              <w:left w:w="120" w:type="dxa"/>
              <w:bottom w:w="105" w:type="dxa"/>
              <w:right w:w="120" w:type="dxa"/>
            </w:tcMar>
          </w:tcPr>
          <w:p w14:paraId="7E761EE8"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lastRenderedPageBreak/>
              <w:t>Funcția publică de comparare nu solicită date care permit identificarea consumatorului. Criteriile utilizate sunt categoria de consumator, locul de consum, consumul estimat și preferințele comerciale, precum și, pentru energia electrică, teritoriul de aplicare al ofertei, după caz. Această soluție reduce semnificativ riscurile pentru viața privată.</w:t>
            </w:r>
          </w:p>
          <w:p w14:paraId="148C9728"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Date cu caracter personal sunt prelucrate pentru reprezentanții împuterniciți ai furnizorilor și pentru personalul autorizat al ANRE. Categoriile principale sunt numele și prenumele, identificatorul furnizat prin MPass, asocierea cu furnizorul sau subdiviziunea ANRE, rolurile, drepturile de acces, starea accesului și datele privind atribuirea, modificarea, suspendarea ori retragerea acestuia. Jurnalul de audit păstrează informațiile necesare identificării persoanei care a efectuat o operațiune.</w:t>
            </w:r>
          </w:p>
          <w:p w14:paraId="708F8A28"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În cazul sesizărilor, datele de contact sunt opționale. Ele sunt utilizate numai dacă persoana dorește să primească un răspuns privind rezultatul examinării. Persoana este informată despre scopul și modul de utilizare a datelor.</w:t>
            </w:r>
          </w:p>
          <w:p w14:paraId="4DB41C50"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ANRE este entitatea care stabilește scopurile și mijloacele prelucrării în cadrul SI ICOF, în limitele competențelor sale. Eventualii prestatori tehnici vor prelucra datele numai în baza atribuțiilor și condițiilor stabilite de lege și de raporturile contractuale aplicabile.</w:t>
            </w:r>
          </w:p>
          <w:p w14:paraId="11AF059A"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Garanțiile prevăzute includ autentificarea prin servicii de identitate verificate, accesul bazat pe roluri, revizuirea periodică a drepturilor, criptarea transmisiilor, protecția datelor stocate în funcție de risc, jurnalizarea operațiunilor, protecția copiilor de rezervă, monitorizarea incidentelor și testarea securității înainte de punerea în exploatare și după modificări relevante.</w:t>
            </w:r>
          </w:p>
          <w:p w14:paraId="0276A4F0"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nu stabilește, la această etapă, termene concrete de păstrare. Stabilirea unor termene diferențiate presupune evaluarea categoriilor de date și documente, a scopului pentru care acestea sunt colectate sau create, a frecvenței actualizării ofertelor, a volumului informațiilor generate, a perioadei în care istoricul acestora poate fi necesar pentru examinarea sesizărilor sau soluționarea eventualelor litigii, precum și a valorii lor arhivistice. Unele dintre aceste elemente vor putea fi evaluate complet după finalizarea dezvoltării sistemului și verificarea fluxurilor sale operaționale. Totuși, principiul limitării stocării nu permite păstrarea nedeterminată a datelor până la acumularea experienței practice. Această cerință rezultă din Legea nr. 195/2024 privind protecția datelor cu caracter personal și din regulile privind întocmirea nomenclatorului dosarelor.</w:t>
            </w:r>
          </w:p>
          <w:p w14:paraId="1CA24350"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 xml:space="preserve">Din acest motiv, proiectul stabilește criteriile obligatorii pentru determinarea termenelor de păstrare. Termenele concrete vor fi stabilite distinct pentru fiecare categorie de date și documente, prin hotărâre a Consiliului de administrație al ANRE, în cuprinsul Regulamentului SI ICOF sau printr-o hotărâre distinctă, înainte de punerea sistemului în exploatare. La stabilirea acestora se vor lua în considerare legislația aplicabilă, nomenclatorul dosarelor ANRE, necesitatea păstrării istoricului ofertelor, examinarea sesizărilor, soluționarea eventualelor litigii și asigurarea trasabilității operațiunilor. Datele și documentele care nu mai sunt utilizate în activitatea curentă, dar al căror termen de păstrare nu a expirat, vor fi arhivate. La expirarea termenului, ANRE va stabili, în funcție de natura și valoarea arhivistică a informațiilor, transmiterea acestora spre păstrare arhivistică, anonimizarea, </w:t>
            </w:r>
            <w:r w:rsidRPr="00FA2CDE">
              <w:rPr>
                <w:color w:val="000000" w:themeColor="text1"/>
                <w:lang w:val="ro-RO"/>
              </w:rPr>
              <w:lastRenderedPageBreak/>
              <w:t>ștergerea sau distrugerea lor. Termenele vor putea fi revizuite ulterior dacă experiența de funcționare a sistemului va demonstra necesitatea ajustării lor.</w:t>
            </w:r>
          </w:p>
          <w:p w14:paraId="17FD096B"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Riscurile principale sunt accesul neautorizat, atribuirea excesivă a drepturilor, utilizarea identității altei persoane, păstrarea datelor peste termen și divulgarea informațiilor nepublice. Proiectul reduce aceste riscuri prin limitarea datelor, separarea rolurilor, jurnalizare, controale tehnice și proceduri de incident. Riscurile reziduale vor trebui evaluate și tratate în documentația de securitate și de protecție a datelor înainte de punerea în exploatare.</w:t>
            </w:r>
          </w:p>
        </w:tc>
      </w:tr>
      <w:tr w:rsidR="004F12D9" w:rsidRPr="00FA2CDE" w14:paraId="3BA502CC" w14:textId="77777777" w:rsidTr="00E51E1F">
        <w:trPr>
          <w:cantSplit/>
        </w:trPr>
        <w:tc>
          <w:tcPr>
            <w:tcW w:w="5000" w:type="pct"/>
            <w:shd w:val="clear" w:color="auto" w:fill="E7E6E6"/>
            <w:tcMar>
              <w:top w:w="75" w:type="dxa"/>
              <w:left w:w="120" w:type="dxa"/>
              <w:bottom w:w="75" w:type="dxa"/>
              <w:right w:w="120" w:type="dxa"/>
            </w:tcMar>
            <w:vAlign w:val="center"/>
          </w:tcPr>
          <w:p w14:paraId="145929CB" w14:textId="77777777" w:rsidR="004F12D9" w:rsidRPr="00FA2CDE" w:rsidRDefault="004F12D9" w:rsidP="00E51E1F">
            <w:pPr>
              <w:spacing w:line="276" w:lineRule="auto"/>
              <w:rPr>
                <w:color w:val="000000" w:themeColor="text1"/>
                <w:lang w:val="ro-RO"/>
              </w:rPr>
            </w:pPr>
            <w:r w:rsidRPr="00FA2CDE">
              <w:rPr>
                <w:i/>
                <w:color w:val="000000" w:themeColor="text1"/>
                <w:lang w:val="ro-RO"/>
              </w:rPr>
              <w:lastRenderedPageBreak/>
              <w:t>4.4.2. Impactul asupra echității și egalității de gen</w:t>
            </w:r>
          </w:p>
        </w:tc>
      </w:tr>
      <w:tr w:rsidR="004F12D9" w:rsidRPr="00FA2CDE" w14:paraId="5403E4DC" w14:textId="77777777" w:rsidTr="00E51E1F">
        <w:tc>
          <w:tcPr>
            <w:tcW w:w="5000" w:type="pct"/>
            <w:shd w:val="clear" w:color="auto" w:fill="FFFFFF"/>
            <w:tcMar>
              <w:top w:w="105" w:type="dxa"/>
              <w:left w:w="120" w:type="dxa"/>
              <w:bottom w:w="105" w:type="dxa"/>
              <w:right w:w="120" w:type="dxa"/>
            </w:tcMar>
          </w:tcPr>
          <w:p w14:paraId="446932D6"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nu introduce diferențe de tratament în funcție de sex, gen sau alte criterii protejate. Accesul la instrument și criteriile de comparare sunt neutre. Rezultatele sunt generate în baza datelor privind consumul și caracteristicile ofertelor.</w:t>
            </w:r>
          </w:p>
          <w:p w14:paraId="12D016B5"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Accesul gratuit, utilizarea unui limbaj clar și cerințele de accesibilitate pot reduce barierele pentru grupurile care au acces mai limitat la informații comerciale sau la asistență de specialitate. Nu au fost identificate riscuri specifice de discriminare generate de soluțiile propuse.</w:t>
            </w:r>
          </w:p>
        </w:tc>
      </w:tr>
      <w:tr w:rsidR="004F12D9" w:rsidRPr="00FA2CDE" w14:paraId="3C61C28D" w14:textId="77777777" w:rsidTr="00E51E1F">
        <w:trPr>
          <w:cantSplit/>
        </w:trPr>
        <w:tc>
          <w:tcPr>
            <w:tcW w:w="5000" w:type="pct"/>
            <w:shd w:val="clear" w:color="auto" w:fill="E7E6E6"/>
            <w:tcMar>
              <w:top w:w="75" w:type="dxa"/>
              <w:left w:w="120" w:type="dxa"/>
              <w:bottom w:w="75" w:type="dxa"/>
              <w:right w:w="120" w:type="dxa"/>
            </w:tcMar>
            <w:vAlign w:val="center"/>
          </w:tcPr>
          <w:p w14:paraId="346FB439" w14:textId="77777777" w:rsidR="004F12D9" w:rsidRPr="00FA2CDE" w:rsidRDefault="004F12D9" w:rsidP="00E51E1F">
            <w:pPr>
              <w:spacing w:line="276" w:lineRule="auto"/>
              <w:rPr>
                <w:color w:val="000000" w:themeColor="text1"/>
                <w:lang w:val="ro-RO"/>
              </w:rPr>
            </w:pPr>
            <w:r w:rsidRPr="00FA2CDE">
              <w:rPr>
                <w:i/>
                <w:color w:val="000000" w:themeColor="text1"/>
                <w:lang w:val="ro-RO"/>
              </w:rPr>
              <w:t>4.5. Impactul asupra mediului</w:t>
            </w:r>
          </w:p>
        </w:tc>
      </w:tr>
      <w:tr w:rsidR="004F12D9" w:rsidRPr="00FA2CDE" w14:paraId="3C4E761D" w14:textId="77777777" w:rsidTr="00E51E1F">
        <w:tc>
          <w:tcPr>
            <w:tcW w:w="5000" w:type="pct"/>
            <w:shd w:val="clear" w:color="auto" w:fill="FFFFFF"/>
            <w:tcMar>
              <w:top w:w="105" w:type="dxa"/>
              <w:left w:w="120" w:type="dxa"/>
              <w:bottom w:w="105" w:type="dxa"/>
              <w:right w:w="120" w:type="dxa"/>
            </w:tcMar>
          </w:tcPr>
          <w:p w14:paraId="0D717EE1"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nu reglementează producerea sau consumul de energie și nu produce un impact direct semnificativ asupra mediului. Implementarea presupune utilizarea infrastructurii TIC, care consumă energie și generează un impact tehnologic obișnuit. Acesta poate fi limitat prin utilizarea eficientă a infrastructurii existente și prin dimensionarea proporțională a resurselor.</w:t>
            </w:r>
          </w:p>
          <w:p w14:paraId="561D478B"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Impactul indirect poate fi pozitiv, dar nu poate fi cuantificat la etapa aprobării actului. Informațiile mai clare pot permite consumatorilor să identifice ofertele și serviciile care corespund preferințelor lor, inclusiv eventuale caracteristici privind sursa energiei sau serviciile asociate. Digitalizarea fluxului de prezentare, verificare automată și publicare a ofertelor poate reduce utilizarea documentelor pe hârtie.</w:t>
            </w:r>
          </w:p>
        </w:tc>
      </w:tr>
      <w:tr w:rsidR="004F12D9" w:rsidRPr="00FA2CDE" w14:paraId="4E5C8619" w14:textId="77777777" w:rsidTr="00E51E1F">
        <w:trPr>
          <w:cantSplit/>
        </w:trPr>
        <w:tc>
          <w:tcPr>
            <w:tcW w:w="5000" w:type="pct"/>
            <w:shd w:val="clear" w:color="auto" w:fill="E7E6E6"/>
            <w:tcMar>
              <w:top w:w="75" w:type="dxa"/>
              <w:left w:w="120" w:type="dxa"/>
              <w:bottom w:w="75" w:type="dxa"/>
              <w:right w:w="120" w:type="dxa"/>
            </w:tcMar>
            <w:vAlign w:val="center"/>
          </w:tcPr>
          <w:p w14:paraId="29160F7A" w14:textId="77777777" w:rsidR="004F12D9" w:rsidRPr="00FA2CDE" w:rsidRDefault="004F12D9" w:rsidP="00E51E1F">
            <w:pPr>
              <w:spacing w:line="276" w:lineRule="auto"/>
              <w:rPr>
                <w:color w:val="000000" w:themeColor="text1"/>
                <w:lang w:val="ro-RO"/>
              </w:rPr>
            </w:pPr>
            <w:r w:rsidRPr="00FA2CDE">
              <w:rPr>
                <w:i/>
                <w:color w:val="000000" w:themeColor="text1"/>
                <w:lang w:val="ro-RO"/>
              </w:rPr>
              <w:t>4.6. Alte impacturi și informații relevante</w:t>
            </w:r>
          </w:p>
        </w:tc>
      </w:tr>
      <w:tr w:rsidR="004F12D9" w:rsidRPr="00FA2CDE" w14:paraId="7982DBB2" w14:textId="77777777" w:rsidTr="00E51E1F">
        <w:tc>
          <w:tcPr>
            <w:tcW w:w="5000" w:type="pct"/>
            <w:shd w:val="clear" w:color="auto" w:fill="FFFFFF"/>
            <w:tcMar>
              <w:top w:w="105" w:type="dxa"/>
              <w:left w:w="120" w:type="dxa"/>
              <w:bottom w:w="105" w:type="dxa"/>
              <w:right w:w="120" w:type="dxa"/>
            </w:tcMar>
          </w:tcPr>
          <w:p w14:paraId="4E91518F"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 xml:space="preserve">Proiectul are un </w:t>
            </w:r>
            <w:r w:rsidRPr="00FA2CDE">
              <w:rPr>
                <w:i/>
                <w:iCs/>
                <w:color w:val="000000" w:themeColor="text1"/>
                <w:lang w:val="ro-RO"/>
              </w:rPr>
              <w:t>impact pozitiv asupra digitalizării administrației</w:t>
            </w:r>
            <w:r w:rsidRPr="00FA2CDE">
              <w:rPr>
                <w:color w:val="000000" w:themeColor="text1"/>
                <w:lang w:val="ro-RO"/>
              </w:rPr>
              <w:t xml:space="preserve"> și a relației dintre ANRE, furnizori și consumatori. Datele relevante sunt colectate într-un format structurat, operațiunile sunt trasabile, iar rapoartele pot fi generate pe baza unei surse unitare.</w:t>
            </w:r>
          </w:p>
          <w:p w14:paraId="37F2CB0B" w14:textId="77777777" w:rsidR="004F12D9" w:rsidRPr="00FA2CDE" w:rsidRDefault="004F12D9" w:rsidP="00E51E1F">
            <w:pPr>
              <w:spacing w:line="276" w:lineRule="auto"/>
              <w:ind w:firstLine="589"/>
              <w:jc w:val="both"/>
              <w:rPr>
                <w:color w:val="000000" w:themeColor="text1"/>
                <w:lang w:val="ro-RO"/>
              </w:rPr>
            </w:pPr>
            <w:r w:rsidRPr="00FA2CDE">
              <w:rPr>
                <w:i/>
                <w:iCs/>
                <w:color w:val="000000" w:themeColor="text1"/>
                <w:lang w:val="ro-RO"/>
              </w:rPr>
              <w:t>Impactul asupra consumatorilor și asupra concurenței</w:t>
            </w:r>
            <w:r w:rsidRPr="00FA2CDE">
              <w:rPr>
                <w:color w:val="000000" w:themeColor="text1"/>
                <w:lang w:val="ro-RO"/>
              </w:rPr>
              <w:t xml:space="preserve"> este relevant. Transparența sporită poate încuraja furnizorii să formuleze oferte mai clare și mai competitive. Instrumentul nu garantează reducerea prețurilor, însă reduce costul de căutare și face diferențele dintre oferte mai ușor de observat.</w:t>
            </w:r>
          </w:p>
          <w:p w14:paraId="786434A4"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lastRenderedPageBreak/>
              <w:t xml:space="preserve">Sistemul </w:t>
            </w:r>
            <w:r w:rsidRPr="00FA2CDE">
              <w:rPr>
                <w:i/>
                <w:iCs/>
                <w:color w:val="000000" w:themeColor="text1"/>
                <w:lang w:val="ro-RO"/>
              </w:rPr>
              <w:t>poate îmbunătăți baza informațională utilizată de ANRE pentru monitorizarea piețelor cu amănuntul</w:t>
            </w:r>
            <w:r w:rsidRPr="00FA2CDE">
              <w:rPr>
                <w:color w:val="000000" w:themeColor="text1"/>
                <w:lang w:val="ro-RO"/>
              </w:rPr>
              <w:t>. Istoricul ofertelor și rapoartele privind evoluția prețurilor pot sprijini identificarea tendințelor și a problemelor de calitate a informațiilor, fără a substitui procedurile de control sau investigație prevăzute de lege.</w:t>
            </w:r>
          </w:p>
          <w:p w14:paraId="37447B01" w14:textId="77777777" w:rsidR="004F12D9" w:rsidRPr="00FA2CDE" w:rsidRDefault="004F12D9" w:rsidP="00E51E1F">
            <w:pPr>
              <w:spacing w:line="276" w:lineRule="auto"/>
              <w:ind w:firstLine="589"/>
              <w:jc w:val="both"/>
              <w:rPr>
                <w:color w:val="000000" w:themeColor="text1"/>
                <w:lang w:val="ro-RO"/>
              </w:rPr>
            </w:pPr>
            <w:r w:rsidRPr="00FA2CDE">
              <w:rPr>
                <w:i/>
                <w:iCs/>
                <w:color w:val="000000" w:themeColor="text1"/>
                <w:lang w:val="ro-RO"/>
              </w:rPr>
              <w:t>Analiza riscurilor</w:t>
            </w:r>
            <w:r w:rsidRPr="00FA2CDE">
              <w:rPr>
                <w:color w:val="000000" w:themeColor="text1"/>
                <w:lang w:val="ro-RO"/>
              </w:rPr>
              <w:t xml:space="preserve">. </w:t>
            </w:r>
          </w:p>
          <w:p w14:paraId="592F9FEA"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 xml:space="preserve">Riscul principal de funcționare este </w:t>
            </w:r>
            <w:r w:rsidRPr="00FA2CDE">
              <w:rPr>
                <w:i/>
                <w:iCs/>
                <w:color w:val="000000" w:themeColor="text1"/>
                <w:lang w:val="ro-RO"/>
              </w:rPr>
              <w:t>acoperirea incompletă a pieței</w:t>
            </w:r>
            <w:r w:rsidRPr="00FA2CDE">
              <w:rPr>
                <w:color w:val="000000" w:themeColor="text1"/>
                <w:lang w:val="ro-RO"/>
              </w:rPr>
              <w:t>. El poate apărea dacă un furnizor nu prezintă oferta sau nu o actualizează la timp. Măsurile de reducere sunt obligația de prezentare și actualizare, monitorizarea ofertelor active, notificarea furnizorilor și afișarea clară a lipsei de acoperire înaintea rezultatelor. Informarea utilizatorului este necesară deoarece un clasament incomplet poate conduce la concluzia greșită că oferta cea mai avantajoasă din sistem este și cea mai avantajoasă din întreaga piață.</w:t>
            </w:r>
          </w:p>
          <w:p w14:paraId="1316C9F3"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Există riscul publicării unor date incorecte, incomplete ori depășite. Acesta este redus prin câmpuri obligatorii, verificări automate, confirmarea furnizorului, indicarea momentului actualizării, raportarea erorilor și posibilitatea opririi temporare a afișării. Nicio măsură tehnică nu poate garanta singură veridicitatea unei informații comerciale. De aceea, răspunderea furnizorului și mecanismul de corectare trebuie să funcționeze împreună.</w:t>
            </w:r>
          </w:p>
          <w:p w14:paraId="6C4E1F01"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Există riscul unei comparații înșelătoare dacă ofertele nu includ aceleași componente sau dacă se aplică unor categorii ori perioade diferite și, în cazul energiei electrice, unor teritorii diferite. Reducerea riscului se face prin schema unitară de date, filtrarea ofertelor neaplicabile, calcularea după aceleași reguli și prezentarea componentelor, condițiilor și ipotezelor. Prețul reglementat este afișat numai ca reper și nu trebuie amestecat cu ordonarea ofertelor comerciale.</w:t>
            </w:r>
          </w:p>
          <w:p w14:paraId="0C085E41"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 xml:space="preserve">Pentru ofertele variabile și dinamice există </w:t>
            </w:r>
            <w:r w:rsidRPr="00FA2CDE">
              <w:rPr>
                <w:i/>
                <w:iCs/>
                <w:color w:val="000000" w:themeColor="text1"/>
                <w:lang w:val="ro-RO"/>
              </w:rPr>
              <w:t>riscul ca estimarea să fie interpretată ca un cost viitor garantat.</w:t>
            </w:r>
            <w:r w:rsidRPr="00FA2CDE">
              <w:rPr>
                <w:color w:val="000000" w:themeColor="text1"/>
                <w:lang w:val="ro-RO"/>
              </w:rPr>
              <w:t xml:space="preserve"> Măsurile necesare sunt afișarea formulei și a indicelui, indicarea perioadei datelor utilizate, explicarea ipotezelor și avertizarea expresă asupra caracterului estimativ al rezultatului.</w:t>
            </w:r>
          </w:p>
          <w:p w14:paraId="3814A4E0" w14:textId="77777777" w:rsidR="004F12D9" w:rsidRPr="00FA2CDE" w:rsidRDefault="004F12D9" w:rsidP="00E51E1F">
            <w:pPr>
              <w:spacing w:line="276" w:lineRule="auto"/>
              <w:ind w:firstLine="589"/>
              <w:jc w:val="both"/>
              <w:rPr>
                <w:color w:val="000000" w:themeColor="text1"/>
                <w:lang w:val="ro-RO"/>
              </w:rPr>
            </w:pPr>
            <w:r w:rsidRPr="00FA2CDE">
              <w:rPr>
                <w:i/>
                <w:iCs/>
                <w:color w:val="000000" w:themeColor="text1"/>
                <w:lang w:val="ro-RO"/>
              </w:rPr>
              <w:t xml:space="preserve">Riscurile de securitate </w:t>
            </w:r>
            <w:r w:rsidRPr="00FA2CDE">
              <w:rPr>
                <w:color w:val="000000" w:themeColor="text1"/>
                <w:lang w:val="ro-RO"/>
              </w:rPr>
              <w:t>includ accesul neautorizat, atribuirea greșită a rolurilor, compromiterea unei sesiuni, introducerea de date sau fișiere malițioase, exploatarea API-urilor, modificarea jurnalelor, vulnerabilități ale componentelor terțe și indisponibilitatea serviciului. Măsurile proporționale sunt autentificarea prin MPass, controlul accesului pe roluri, validarea pe server, criptarea comunicațiilor, limitarea și monitorizarea operațiunilor API, protejarea jurnalelor, actualizarea componentelor, testarea de securitate, copii de rezervă și proceduri de continuitate.</w:t>
            </w:r>
          </w:p>
          <w:p w14:paraId="0B06073C" w14:textId="77777777" w:rsidR="004F12D9" w:rsidRPr="00FA2CDE" w:rsidRDefault="004F12D9" w:rsidP="00E51E1F">
            <w:pPr>
              <w:spacing w:line="276" w:lineRule="auto"/>
              <w:ind w:firstLine="589"/>
              <w:jc w:val="both"/>
              <w:rPr>
                <w:color w:val="000000" w:themeColor="text1"/>
                <w:lang w:val="ro-RO"/>
              </w:rPr>
            </w:pPr>
            <w:r w:rsidRPr="00FA2CDE">
              <w:rPr>
                <w:i/>
                <w:iCs/>
                <w:color w:val="000000" w:themeColor="text1"/>
                <w:lang w:val="ro-RO"/>
              </w:rPr>
              <w:t>Riscul pentru datele cu caracter personal</w:t>
            </w:r>
            <w:r w:rsidRPr="00FA2CDE">
              <w:rPr>
                <w:color w:val="000000" w:themeColor="text1"/>
                <w:lang w:val="ro-RO"/>
              </w:rPr>
              <w:t xml:space="preserve"> este limitat prin lipsa identificării consumatorului în funcția publică. Riscul rămâne relevant pentru reprezentanții furnizorilor, personalul ANRE și persoanele care comunică voluntar date de contact. Reducerea lui presupune limitarea scopului, drepturi de acces minime, termene de păstrare documentate, monitorizare, informarea persoanelor și eliminarea datelor la expirarea necesității.</w:t>
            </w:r>
          </w:p>
          <w:p w14:paraId="015044D2"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 xml:space="preserve">Există </w:t>
            </w:r>
            <w:r w:rsidRPr="00FA2CDE">
              <w:rPr>
                <w:i/>
                <w:iCs/>
                <w:color w:val="000000" w:themeColor="text1"/>
                <w:lang w:val="ro-RO"/>
              </w:rPr>
              <w:t>un risc de dependență față de prestatorul care dezvoltă sistemul.</w:t>
            </w:r>
            <w:r w:rsidRPr="00FA2CDE">
              <w:rPr>
                <w:color w:val="000000" w:themeColor="text1"/>
                <w:lang w:val="ro-RO"/>
              </w:rPr>
              <w:t xml:space="preserve"> El este redus prin proprietatea ANRE asupra codului și artefactelor, acces administrativ la depozitul centralizat de cod sursă încă din etapa de dezvoltare, documentație completă, standarde deschise pentru API-uri, </w:t>
            </w:r>
            <w:r w:rsidRPr="00FA2CDE">
              <w:rPr>
                <w:color w:val="000000" w:themeColor="text1"/>
                <w:lang w:val="ro-RO"/>
              </w:rPr>
              <w:lastRenderedPageBreak/>
              <w:t>separarea mediilor și transferul cunoștințelor. Aceste măsuri nu sunt suficiente dacă documentația nu este actualizată sau dacă se folosesc componente fără suport. Recepția trebuie să verifice și aceste aspecte.</w:t>
            </w:r>
          </w:p>
          <w:p w14:paraId="7F6CCC5B"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 xml:space="preserve">Există și </w:t>
            </w:r>
            <w:r w:rsidRPr="00FA2CDE">
              <w:rPr>
                <w:i/>
                <w:iCs/>
                <w:color w:val="000000" w:themeColor="text1"/>
                <w:lang w:val="ro-RO"/>
              </w:rPr>
              <w:t>un risc de sarcină administrativă disproporționată</w:t>
            </w:r>
            <w:r w:rsidRPr="00FA2CDE">
              <w:rPr>
                <w:color w:val="000000" w:themeColor="text1"/>
                <w:lang w:val="ro-RO"/>
              </w:rPr>
              <w:t xml:space="preserve"> pentru furnizorii cu resurse tehnice limitate. Oferirea concomitentă a formularului web, a fișierului standardizat și, opțional, a API-ului permite alegerea canalului proporțional capacității fiecărui furnizor. Câmpurile obligatorii trebuie limitate la informațiile necesare comparării și verificării.</w:t>
            </w:r>
          </w:p>
          <w:p w14:paraId="0BE8B560"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Măsurile tehnice și de securitate propuse sunt fundamentate pe standardele și bunele practici recunoscute în domeniu și urmează să fie adaptate rezultatelor evaluării riscurilor SI ICOF.</w:t>
            </w:r>
          </w:p>
        </w:tc>
      </w:tr>
      <w:tr w:rsidR="004F12D9" w:rsidRPr="00FA2CDE" w14:paraId="40A71232" w14:textId="77777777" w:rsidTr="00E51E1F">
        <w:trPr>
          <w:cantSplit/>
        </w:trPr>
        <w:tc>
          <w:tcPr>
            <w:tcW w:w="5000" w:type="pct"/>
            <w:shd w:val="clear" w:color="auto" w:fill="BFBFBF"/>
            <w:tcMar>
              <w:top w:w="75" w:type="dxa"/>
              <w:left w:w="120" w:type="dxa"/>
              <w:bottom w:w="75" w:type="dxa"/>
              <w:right w:w="120" w:type="dxa"/>
            </w:tcMar>
            <w:vAlign w:val="center"/>
          </w:tcPr>
          <w:p w14:paraId="2C3321DE" w14:textId="77777777" w:rsidR="004F12D9" w:rsidRPr="00FA2CDE" w:rsidRDefault="004F12D9" w:rsidP="00E51E1F">
            <w:pPr>
              <w:spacing w:line="276" w:lineRule="auto"/>
              <w:rPr>
                <w:color w:val="000000" w:themeColor="text1"/>
                <w:lang w:val="ro-RO"/>
              </w:rPr>
            </w:pPr>
            <w:r w:rsidRPr="00FA2CDE">
              <w:rPr>
                <w:b/>
                <w:color w:val="000000" w:themeColor="text1"/>
                <w:lang w:val="ro-RO"/>
              </w:rPr>
              <w:lastRenderedPageBreak/>
              <w:t>5. Compatibilitatea proiectului actului normativ cu legislația UE</w:t>
            </w:r>
          </w:p>
        </w:tc>
      </w:tr>
      <w:tr w:rsidR="004F12D9" w:rsidRPr="00FA2CDE" w14:paraId="017C2095" w14:textId="77777777" w:rsidTr="00E51E1F">
        <w:trPr>
          <w:cantSplit/>
        </w:trPr>
        <w:tc>
          <w:tcPr>
            <w:tcW w:w="5000" w:type="pct"/>
            <w:shd w:val="clear" w:color="auto" w:fill="E7E6E6"/>
            <w:tcMar>
              <w:top w:w="75" w:type="dxa"/>
              <w:left w:w="120" w:type="dxa"/>
              <w:bottom w:w="75" w:type="dxa"/>
              <w:right w:w="120" w:type="dxa"/>
            </w:tcMar>
            <w:vAlign w:val="center"/>
          </w:tcPr>
          <w:p w14:paraId="6471EC1E" w14:textId="77777777" w:rsidR="004F12D9" w:rsidRPr="00FA2CDE" w:rsidRDefault="004F12D9" w:rsidP="00E51E1F">
            <w:pPr>
              <w:spacing w:line="276" w:lineRule="auto"/>
              <w:rPr>
                <w:color w:val="000000" w:themeColor="text1"/>
                <w:lang w:val="ro-RO"/>
              </w:rPr>
            </w:pPr>
            <w:r w:rsidRPr="00FA2CDE">
              <w:rPr>
                <w:i/>
                <w:color w:val="000000" w:themeColor="text1"/>
                <w:lang w:val="ro-RO"/>
              </w:rPr>
              <w:t>5.1. Măsuri normative necesare pentru transpunerea actelor juridice ale UE în legislația națională</w:t>
            </w:r>
          </w:p>
        </w:tc>
      </w:tr>
      <w:tr w:rsidR="004F12D9" w:rsidRPr="00FA2CDE" w14:paraId="40404D7A" w14:textId="77777777" w:rsidTr="00E51E1F">
        <w:tc>
          <w:tcPr>
            <w:tcW w:w="5000" w:type="pct"/>
            <w:shd w:val="clear" w:color="auto" w:fill="FFFFFF"/>
            <w:tcMar>
              <w:top w:w="105" w:type="dxa"/>
              <w:left w:w="120" w:type="dxa"/>
              <w:bottom w:w="105" w:type="dxa"/>
              <w:right w:w="120" w:type="dxa"/>
            </w:tcMar>
          </w:tcPr>
          <w:p w14:paraId="11FA93E7"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 xml:space="preserve">Proiectul nu realizează o transpunere primară și directă a unui act juridic al Uniunii Europene. Cerințele pentru instrumentul de comparare în sectorul energiei electrice sunt deja prevăzute la art. 113 din Legea nr. 164/2025, lege care transpune parțial Directiva (UE) 2019/944, în varianta adaptată pentru Comunitatea Energetică. Proiectul dezvoltă mecanismele interne necesare aplicării acestor prevederi. </w:t>
            </w:r>
          </w:p>
          <w:p w14:paraId="5508B8FE"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În sectorul gazelor naturale, cerințe similare sunt stabilite la art. 87¹ din Legea nr. 108/2016 cu privire la gazele naturale. Proiectul dezvoltă mecanismele interne necesare aplicării unitare a acestor prevederi pentru ambele sectoare.</w:t>
            </w:r>
          </w:p>
          <w:p w14:paraId="4AADD6D4"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Soluțiile propuse respectă principiile de independență, tratament egal, criterii obiective, informații exacte și actualizate, accesibilitate și limitare a datelor cu caracter personal. Nu sunt introduse derogări de la cerințele legale și nu sunt restrânse drepturile recunoscute consumatorilor.</w:t>
            </w:r>
          </w:p>
          <w:p w14:paraId="0A17706A"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Întrucât proiectul nu transpune nemijlocit un act al UE, nu este necesar un tabel de concordanță distinct pentru acest proiect. Compatibilitatea sa se apreciază prin raportare la legile sectoriale pe care le pune în aplicare.</w:t>
            </w:r>
          </w:p>
        </w:tc>
      </w:tr>
      <w:tr w:rsidR="004F12D9" w:rsidRPr="00FA2CDE" w14:paraId="727BE8CC" w14:textId="77777777" w:rsidTr="00E51E1F">
        <w:trPr>
          <w:cantSplit/>
        </w:trPr>
        <w:tc>
          <w:tcPr>
            <w:tcW w:w="5000" w:type="pct"/>
            <w:shd w:val="clear" w:color="auto" w:fill="E7E6E6"/>
            <w:tcMar>
              <w:top w:w="75" w:type="dxa"/>
              <w:left w:w="120" w:type="dxa"/>
              <w:bottom w:w="75" w:type="dxa"/>
              <w:right w:w="120" w:type="dxa"/>
            </w:tcMar>
            <w:vAlign w:val="center"/>
          </w:tcPr>
          <w:p w14:paraId="7DE91948" w14:textId="77777777" w:rsidR="004F12D9" w:rsidRPr="00FA2CDE" w:rsidRDefault="004F12D9" w:rsidP="00E51E1F">
            <w:pPr>
              <w:spacing w:line="276" w:lineRule="auto"/>
              <w:rPr>
                <w:color w:val="000000" w:themeColor="text1"/>
                <w:lang w:val="ro-RO"/>
              </w:rPr>
            </w:pPr>
            <w:r w:rsidRPr="00FA2CDE">
              <w:rPr>
                <w:i/>
                <w:color w:val="000000" w:themeColor="text1"/>
                <w:lang w:val="ro-RO"/>
              </w:rPr>
              <w:t>5.2. Măsuri normative care urmăresc crearea cadrului juridic intern necesar pentru implementarea legislației UE</w:t>
            </w:r>
          </w:p>
        </w:tc>
      </w:tr>
      <w:tr w:rsidR="004F12D9" w:rsidRPr="00FA2CDE" w14:paraId="4FC53BB5" w14:textId="77777777" w:rsidTr="00E51E1F">
        <w:tc>
          <w:tcPr>
            <w:tcW w:w="5000" w:type="pct"/>
            <w:shd w:val="clear" w:color="auto" w:fill="FFFFFF"/>
            <w:tcMar>
              <w:top w:w="105" w:type="dxa"/>
              <w:left w:w="120" w:type="dxa"/>
              <w:bottom w:w="105" w:type="dxa"/>
              <w:right w:w="120" w:type="dxa"/>
            </w:tcMar>
          </w:tcPr>
          <w:p w14:paraId="169ECDE0"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contribuie la aplicarea cadrului intern instituit prin Legea nr. 164/2025 pentru o piață a energiei electrice axată pe consumator, transparentă și competitivă. El transformă cerințele legale privind instrumentele de comparare în funcții, roluri, fluxuri de date și garanții aplicabile unui sistem informațional concret.</w:t>
            </w:r>
          </w:p>
          <w:p w14:paraId="654CD647"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lastRenderedPageBreak/>
              <w:t>Pentru sectorul gazelor naturale, proiectul pune în aplicare art. 87¹ din Legea nr. 108/2016. Acesta creează un mecanism similar de protecție și informare a consumatorilor. Soluția unificată asigură coerența între cele două sectoare, fără a elimina particularitățile stabilite de fiecare lege.</w:t>
            </w:r>
          </w:p>
        </w:tc>
      </w:tr>
      <w:tr w:rsidR="004F12D9" w:rsidRPr="00FA2CDE" w14:paraId="2ADB62F6" w14:textId="77777777" w:rsidTr="00E51E1F">
        <w:trPr>
          <w:cantSplit/>
        </w:trPr>
        <w:tc>
          <w:tcPr>
            <w:tcW w:w="5000" w:type="pct"/>
            <w:shd w:val="clear" w:color="auto" w:fill="BFBFBF"/>
            <w:tcMar>
              <w:top w:w="75" w:type="dxa"/>
              <w:left w:w="120" w:type="dxa"/>
              <w:bottom w:w="75" w:type="dxa"/>
              <w:right w:w="120" w:type="dxa"/>
            </w:tcMar>
            <w:vAlign w:val="center"/>
          </w:tcPr>
          <w:p w14:paraId="5C906765" w14:textId="77777777" w:rsidR="004F12D9" w:rsidRPr="00FA2CDE" w:rsidRDefault="004F12D9" w:rsidP="00E51E1F">
            <w:pPr>
              <w:spacing w:line="276" w:lineRule="auto"/>
              <w:rPr>
                <w:color w:val="000000" w:themeColor="text1"/>
                <w:lang w:val="ro-RO"/>
              </w:rPr>
            </w:pPr>
            <w:r w:rsidRPr="00FA2CDE">
              <w:rPr>
                <w:b/>
                <w:color w:val="000000" w:themeColor="text1"/>
                <w:lang w:val="ro-RO"/>
              </w:rPr>
              <w:lastRenderedPageBreak/>
              <w:t>6. Avizarea și consultarea publică a proiectului actului normativ</w:t>
            </w:r>
          </w:p>
        </w:tc>
      </w:tr>
      <w:tr w:rsidR="004F12D9" w:rsidRPr="00FA2CDE" w14:paraId="44C83B38" w14:textId="77777777" w:rsidTr="00E51E1F">
        <w:tc>
          <w:tcPr>
            <w:tcW w:w="5000" w:type="pct"/>
            <w:shd w:val="clear" w:color="auto" w:fill="FFFFFF"/>
            <w:tcMar>
              <w:top w:w="105" w:type="dxa"/>
              <w:left w:w="120" w:type="dxa"/>
              <w:bottom w:w="105" w:type="dxa"/>
              <w:right w:w="120" w:type="dxa"/>
            </w:tcMar>
          </w:tcPr>
          <w:p w14:paraId="3D7045F8"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urmează să fie supus avizării și consultării publice în conformitate cu Legea nr. 100/2017 cu privire la actele normative, Legea nr. 239/2008 privind transparența în procesul decizional și regulile aplicabile actelor normative de reglementare ale ANRE.</w:t>
            </w:r>
          </w:p>
          <w:p w14:paraId="17390354" w14:textId="77777777" w:rsidR="004F12D9" w:rsidRPr="00FA2CDE" w:rsidRDefault="004F12D9" w:rsidP="00E51E1F">
            <w:pPr>
              <w:spacing w:line="276" w:lineRule="auto"/>
              <w:ind w:firstLine="589"/>
              <w:jc w:val="both"/>
              <w:rPr>
                <w:color w:val="000000" w:themeColor="text1"/>
                <w:lang w:val="ro-RO"/>
              </w:rPr>
            </w:pPr>
            <w:r>
              <w:rPr>
                <w:color w:val="000000" w:themeColor="text1"/>
                <w:lang w:val="ro-RO"/>
              </w:rPr>
              <w:t>În cadrul avizării, proiectul se remite Agenției de Guvernare Electronică pentru examinare de specialitate. Consultarea publică implică furnizorii de energie electrică și de gaze naturale, organizațiile care reprezintă consumatorii, autoritățile competente în domeniul protecției datelor și securității cibernetice, precum și alte persoane interesate.</w:t>
            </w:r>
          </w:p>
          <w:p w14:paraId="014164E4"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După finalizarea procedurilor de avizare și consultare publică, compartimentul va fi completat cu informații privind publicarea anunțului, avizele și recomandările recepționate, propunerile acceptate și modul în care acestea au fost integrate în proiect, precum și motivele neacceptării celorlalte propuneri.</w:t>
            </w:r>
          </w:p>
        </w:tc>
      </w:tr>
      <w:tr w:rsidR="004F12D9" w:rsidRPr="00FA2CDE" w14:paraId="7514E691" w14:textId="77777777" w:rsidTr="00E51E1F">
        <w:trPr>
          <w:cantSplit/>
        </w:trPr>
        <w:tc>
          <w:tcPr>
            <w:tcW w:w="5000" w:type="pct"/>
            <w:shd w:val="clear" w:color="auto" w:fill="BFBFBF"/>
            <w:tcMar>
              <w:top w:w="75" w:type="dxa"/>
              <w:left w:w="120" w:type="dxa"/>
              <w:bottom w:w="75" w:type="dxa"/>
              <w:right w:w="120" w:type="dxa"/>
            </w:tcMar>
            <w:vAlign w:val="center"/>
          </w:tcPr>
          <w:p w14:paraId="5094BC9E" w14:textId="77777777" w:rsidR="004F12D9" w:rsidRPr="00FA2CDE" w:rsidRDefault="004F12D9" w:rsidP="00E51E1F">
            <w:pPr>
              <w:spacing w:line="276" w:lineRule="auto"/>
              <w:rPr>
                <w:color w:val="000000" w:themeColor="text1"/>
                <w:lang w:val="ro-RO"/>
              </w:rPr>
            </w:pPr>
            <w:r w:rsidRPr="00FA2CDE">
              <w:rPr>
                <w:b/>
                <w:color w:val="000000" w:themeColor="text1"/>
                <w:lang w:val="ro-RO"/>
              </w:rPr>
              <w:t>7. Concluziile expertizelor</w:t>
            </w:r>
          </w:p>
        </w:tc>
      </w:tr>
      <w:tr w:rsidR="004F12D9" w:rsidRPr="00FA2CDE" w14:paraId="2ECCD81B" w14:textId="77777777" w:rsidTr="00E51E1F">
        <w:tc>
          <w:tcPr>
            <w:tcW w:w="5000" w:type="pct"/>
            <w:shd w:val="clear" w:color="auto" w:fill="FFFFFF"/>
            <w:tcMar>
              <w:top w:w="105" w:type="dxa"/>
              <w:left w:w="120" w:type="dxa"/>
              <w:bottom w:w="105" w:type="dxa"/>
              <w:right w:w="120" w:type="dxa"/>
            </w:tcMar>
          </w:tcPr>
          <w:p w14:paraId="3DDE3B77"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urmează să fie supus expertizelor obligatorii potrivit legislației. Compartimentul va fi completat după recepționarea concluziilor expertizei juridice și, după caz, ale expertizei anticorupție și ale altor evaluări necesare.</w:t>
            </w:r>
          </w:p>
          <w:p w14:paraId="119C2890" w14:textId="77777777" w:rsidR="004F12D9" w:rsidRPr="00FA2CDE" w:rsidRDefault="004F12D9" w:rsidP="00E51E1F">
            <w:pPr>
              <w:spacing w:line="276" w:lineRule="auto"/>
              <w:ind w:firstLine="589"/>
              <w:jc w:val="both"/>
              <w:rPr>
                <w:color w:val="000000" w:themeColor="text1"/>
                <w:lang w:val="ro-RO"/>
              </w:rPr>
            </w:pPr>
            <w:r>
              <w:rPr>
                <w:color w:val="000000" w:themeColor="text1"/>
                <w:lang w:val="ro-RO"/>
              </w:rPr>
              <w:t>În cadrul expertizei juridice urmează să fie verificată concordanța formei actului de aprobare cu mandatul special al ANRE, statutul instituțional al SI ICOF, regimul proprietății asupra sistemului și livrabilelor, respectarea normelor de tehnică legislativă, corelarea cu actele sectoriale și aplicabilitatea prevederilor privind protecția datelor și securitatea cibernetică.</w:t>
            </w:r>
          </w:p>
        </w:tc>
      </w:tr>
      <w:tr w:rsidR="004F12D9" w:rsidRPr="00FA2CDE" w14:paraId="1449BE58" w14:textId="77777777" w:rsidTr="00E51E1F">
        <w:trPr>
          <w:cantSplit/>
        </w:trPr>
        <w:tc>
          <w:tcPr>
            <w:tcW w:w="5000" w:type="pct"/>
            <w:shd w:val="clear" w:color="auto" w:fill="BFBFBF"/>
            <w:tcMar>
              <w:top w:w="75" w:type="dxa"/>
              <w:left w:w="120" w:type="dxa"/>
              <w:bottom w:w="75" w:type="dxa"/>
              <w:right w:w="120" w:type="dxa"/>
            </w:tcMar>
            <w:vAlign w:val="center"/>
          </w:tcPr>
          <w:p w14:paraId="038B5BB4" w14:textId="77777777" w:rsidR="004F12D9" w:rsidRPr="00FA2CDE" w:rsidRDefault="004F12D9" w:rsidP="00E51E1F">
            <w:pPr>
              <w:spacing w:line="276" w:lineRule="auto"/>
              <w:rPr>
                <w:color w:val="000000" w:themeColor="text1"/>
                <w:lang w:val="ro-RO"/>
              </w:rPr>
            </w:pPr>
            <w:r w:rsidRPr="00FA2CDE">
              <w:rPr>
                <w:b/>
                <w:color w:val="000000" w:themeColor="text1"/>
                <w:lang w:val="ro-RO"/>
              </w:rPr>
              <w:t>8. Modul de încorporare a actului în cadrul normativ existent</w:t>
            </w:r>
          </w:p>
        </w:tc>
      </w:tr>
      <w:tr w:rsidR="004F12D9" w:rsidRPr="00FA2CDE" w14:paraId="709E83EE" w14:textId="77777777" w:rsidTr="00E51E1F">
        <w:tc>
          <w:tcPr>
            <w:tcW w:w="5000" w:type="pct"/>
            <w:shd w:val="clear" w:color="auto" w:fill="FFFFFF"/>
            <w:tcMar>
              <w:top w:w="105" w:type="dxa"/>
              <w:left w:w="120" w:type="dxa"/>
              <w:bottom w:w="105" w:type="dxa"/>
              <w:right w:w="120" w:type="dxa"/>
            </w:tcMar>
          </w:tcPr>
          <w:p w14:paraId="6C17E10D"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este un act normativ nou. Acesta completează cadrul de reglementare al ANRE prin stabilirea regulilor de organizare, funcționare și utilizare a SI ICOF.</w:t>
            </w:r>
          </w:p>
          <w:p w14:paraId="6B219A91"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Proiectul nu prevede modificarea sau abrogarea altor acte normative. Dacă în procesul de avizare vor fi identificate neconcordanțe, actele vizate vor fi corelate, după caz.</w:t>
            </w:r>
          </w:p>
          <w:p w14:paraId="0333ADC8"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Pentru implementarea proiectului, ANRE va aproba sau va actualiza procedurile operaționale, instrucțiunile, clasificatoarele interne și documentația necesară. Regulamentul se va aplica de la data punerii în exploatare a SI ICOF, dacă actul de aprobare nu prevede altfel.</w:t>
            </w:r>
          </w:p>
        </w:tc>
      </w:tr>
      <w:tr w:rsidR="004F12D9" w:rsidRPr="00FA2CDE" w14:paraId="648CA765" w14:textId="77777777" w:rsidTr="00E51E1F">
        <w:trPr>
          <w:cantSplit/>
        </w:trPr>
        <w:tc>
          <w:tcPr>
            <w:tcW w:w="5000" w:type="pct"/>
            <w:shd w:val="clear" w:color="auto" w:fill="BFBFBF"/>
            <w:tcMar>
              <w:top w:w="75" w:type="dxa"/>
              <w:left w:w="120" w:type="dxa"/>
              <w:bottom w:w="75" w:type="dxa"/>
              <w:right w:w="120" w:type="dxa"/>
            </w:tcMar>
            <w:vAlign w:val="center"/>
          </w:tcPr>
          <w:p w14:paraId="0C383D19" w14:textId="77777777" w:rsidR="004F12D9" w:rsidRPr="00FA2CDE" w:rsidRDefault="004F12D9" w:rsidP="00E51E1F">
            <w:pPr>
              <w:spacing w:line="276" w:lineRule="auto"/>
              <w:rPr>
                <w:color w:val="000000" w:themeColor="text1"/>
                <w:lang w:val="ro-RO"/>
              </w:rPr>
            </w:pPr>
            <w:r w:rsidRPr="00FA2CDE">
              <w:rPr>
                <w:b/>
                <w:color w:val="000000" w:themeColor="text1"/>
                <w:lang w:val="ro-RO"/>
              </w:rPr>
              <w:lastRenderedPageBreak/>
              <w:t>9. Măsurile necesare pentru implementarea prevederilor proiectului actului normativ</w:t>
            </w:r>
          </w:p>
        </w:tc>
      </w:tr>
      <w:tr w:rsidR="004F12D9" w:rsidRPr="00FA2CDE" w14:paraId="7652F818" w14:textId="77777777" w:rsidTr="00E51E1F">
        <w:tc>
          <w:tcPr>
            <w:tcW w:w="5000" w:type="pct"/>
            <w:shd w:val="clear" w:color="auto" w:fill="FFFFFF"/>
            <w:tcMar>
              <w:top w:w="105" w:type="dxa"/>
              <w:left w:w="120" w:type="dxa"/>
              <w:bottom w:w="105" w:type="dxa"/>
              <w:right w:w="120" w:type="dxa"/>
            </w:tcMar>
          </w:tcPr>
          <w:p w14:paraId="02FEBA31"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Implementarea SI ICOF va fi coordonată de ANRE. Dezvoltarea sistemului se va realiza în conformitate cu Conceptul SI ICOF, Regulamentul SI ICOF și Caietul de sarcini al SI ICOF. ANRE va asigura contractarea și supravegherea lucrărilor, testarea, recepția, punerea în exploatare, administrarea și mentenanța sistemului.</w:t>
            </w:r>
          </w:p>
          <w:p w14:paraId="01399DE1"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Înainte de punerea în exploatare, ANRE va asigura:</w:t>
            </w:r>
          </w:p>
          <w:p w14:paraId="1A6A7D6F" w14:textId="77777777" w:rsidR="004F12D9" w:rsidRPr="00FA2CDE" w:rsidRDefault="004F12D9" w:rsidP="004F12D9">
            <w:pPr>
              <w:pStyle w:val="ListParagraph"/>
              <w:numPr>
                <w:ilvl w:val="0"/>
                <w:numId w:val="1"/>
              </w:numPr>
              <w:spacing w:after="0" w:line="276" w:lineRule="auto"/>
              <w:ind w:left="0" w:firstLine="589"/>
              <w:jc w:val="both"/>
              <w:rPr>
                <w:color w:val="000000" w:themeColor="text1"/>
                <w:lang w:val="ro-RO"/>
              </w:rPr>
            </w:pPr>
            <w:r w:rsidRPr="00FA2CDE">
              <w:rPr>
                <w:color w:val="000000" w:themeColor="text1"/>
                <w:lang w:val="ro-RO"/>
              </w:rPr>
              <w:t>dezvoltarea și integrarea componentelor sistemului;</w:t>
            </w:r>
          </w:p>
          <w:p w14:paraId="025ADABF" w14:textId="77777777" w:rsidR="004F12D9" w:rsidRPr="00FA2CDE" w:rsidRDefault="004F12D9" w:rsidP="004F12D9">
            <w:pPr>
              <w:pStyle w:val="ListParagraph"/>
              <w:numPr>
                <w:ilvl w:val="0"/>
                <w:numId w:val="1"/>
              </w:numPr>
              <w:spacing w:after="0" w:line="276" w:lineRule="auto"/>
              <w:ind w:left="0" w:firstLine="589"/>
              <w:jc w:val="both"/>
              <w:rPr>
                <w:color w:val="000000" w:themeColor="text1"/>
                <w:lang w:val="ro-RO"/>
              </w:rPr>
            </w:pPr>
            <w:r w:rsidRPr="00FA2CDE">
              <w:rPr>
                <w:color w:val="000000" w:themeColor="text1"/>
                <w:lang w:val="ro-RO"/>
              </w:rPr>
              <w:t>testarea funcționalității, securității și accesibilității;</w:t>
            </w:r>
          </w:p>
          <w:p w14:paraId="7286866A" w14:textId="77777777" w:rsidR="004F12D9" w:rsidRPr="00FA2CDE" w:rsidRDefault="004F12D9" w:rsidP="004F12D9">
            <w:pPr>
              <w:pStyle w:val="ListParagraph"/>
              <w:numPr>
                <w:ilvl w:val="0"/>
                <w:numId w:val="1"/>
              </w:numPr>
              <w:spacing w:after="0" w:line="276" w:lineRule="auto"/>
              <w:ind w:left="0" w:firstLine="589"/>
              <w:jc w:val="both"/>
              <w:rPr>
                <w:color w:val="000000" w:themeColor="text1"/>
                <w:lang w:val="ro-RO"/>
              </w:rPr>
            </w:pPr>
            <w:r w:rsidRPr="00FA2CDE">
              <w:rPr>
                <w:color w:val="000000" w:themeColor="text1"/>
                <w:lang w:val="ro-RO"/>
              </w:rPr>
              <w:t>elaborarea procedurilor operaționale necesare;</w:t>
            </w:r>
          </w:p>
          <w:p w14:paraId="2DDF8947" w14:textId="77777777" w:rsidR="004F12D9" w:rsidRPr="00FA2CDE" w:rsidRDefault="004F12D9" w:rsidP="004F12D9">
            <w:pPr>
              <w:pStyle w:val="ListParagraph"/>
              <w:numPr>
                <w:ilvl w:val="0"/>
                <w:numId w:val="1"/>
              </w:numPr>
              <w:spacing w:after="0" w:line="276" w:lineRule="auto"/>
              <w:ind w:left="0" w:firstLine="589"/>
              <w:jc w:val="both"/>
              <w:rPr>
                <w:color w:val="000000" w:themeColor="text1"/>
                <w:lang w:val="ro-RO"/>
              </w:rPr>
            </w:pPr>
            <w:r w:rsidRPr="00FA2CDE">
              <w:rPr>
                <w:color w:val="000000" w:themeColor="text1"/>
                <w:lang w:val="ro-RO"/>
              </w:rPr>
              <w:t>instruirea personalului și informarea furnizorilor;</w:t>
            </w:r>
          </w:p>
          <w:p w14:paraId="73A233A5" w14:textId="77777777" w:rsidR="004F12D9" w:rsidRPr="00FA2CDE" w:rsidRDefault="004F12D9" w:rsidP="004F12D9">
            <w:pPr>
              <w:pStyle w:val="ListParagraph"/>
              <w:numPr>
                <w:ilvl w:val="0"/>
                <w:numId w:val="1"/>
              </w:numPr>
              <w:spacing w:after="0" w:line="276" w:lineRule="auto"/>
              <w:ind w:left="0" w:firstLine="589"/>
              <w:jc w:val="both"/>
              <w:rPr>
                <w:color w:val="000000" w:themeColor="text1"/>
                <w:lang w:val="ro-RO"/>
              </w:rPr>
            </w:pPr>
            <w:r w:rsidRPr="00FA2CDE">
              <w:rPr>
                <w:color w:val="000000" w:themeColor="text1"/>
                <w:lang w:val="ro-RO"/>
              </w:rPr>
              <w:t>încărcarea și verificarea datelor necesare funcționării inițiale;</w:t>
            </w:r>
          </w:p>
          <w:p w14:paraId="30A42C64" w14:textId="77777777" w:rsidR="004F12D9" w:rsidRPr="00FA2CDE" w:rsidRDefault="004F12D9" w:rsidP="004F12D9">
            <w:pPr>
              <w:pStyle w:val="ListParagraph"/>
              <w:numPr>
                <w:ilvl w:val="0"/>
                <w:numId w:val="1"/>
              </w:numPr>
              <w:spacing w:after="0" w:line="276" w:lineRule="auto"/>
              <w:ind w:left="0" w:firstLine="589"/>
              <w:jc w:val="both"/>
              <w:rPr>
                <w:color w:val="000000" w:themeColor="text1"/>
                <w:lang w:val="ro-RO"/>
              </w:rPr>
            </w:pPr>
            <w:r w:rsidRPr="00FA2CDE">
              <w:rPr>
                <w:color w:val="000000" w:themeColor="text1"/>
                <w:lang w:val="ro-RO"/>
              </w:rPr>
              <w:t>publicarea instrucțiunilor de utilizare.</w:t>
            </w:r>
          </w:p>
          <w:p w14:paraId="2547BE17"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La recepție se va verifica respectarea cerințelor stabilite în documentația proiectului. ANRE va prelua codul sursă, configurațiile, documentația tehnică și drepturile necesare administrării sistemului. Deficiențele constatate după lansare vor fi remediate în perioada de garanție și suport.</w:t>
            </w:r>
          </w:p>
          <w:p w14:paraId="4C542FF4"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Furnizorii vor desemna reprezentanții împuterniciți, vor prezenta și actualiza ofertele și vor confirma corectitudinea informațiilor transmise. SI ICOF va efectua verificările automate și publicarea ofertelor, iar ANRE va valida furnizorii la prima înregistrare, va examina sesizările și va administra regulile de comparare.</w:t>
            </w:r>
          </w:p>
          <w:p w14:paraId="54C074F0" w14:textId="77777777" w:rsidR="004F12D9" w:rsidRPr="00FA2CDE" w:rsidRDefault="004F12D9" w:rsidP="00E51E1F">
            <w:pPr>
              <w:spacing w:line="276" w:lineRule="auto"/>
              <w:ind w:firstLine="589"/>
              <w:jc w:val="both"/>
              <w:rPr>
                <w:color w:val="000000" w:themeColor="text1"/>
                <w:lang w:val="ro-RO"/>
              </w:rPr>
            </w:pPr>
            <w:r w:rsidRPr="00FA2CDE">
              <w:rPr>
                <w:color w:val="000000" w:themeColor="text1"/>
                <w:lang w:val="ro-RO"/>
              </w:rPr>
              <w:t>Funcționarea SI ICOF va fi evaluată în baza unor indicatori privind acoperirea pieței, actualitatea ofertelor, disponibilitatea sistemului, numărul comparațiilor efectuate, sesizările recepționate și soluționate, precum și incidentele care au afectat funcționarea. Monitorizarea va fi realizată continuu, iar rezultatele vor fi examinate periodic. Conceptul, Regulamentul și documentația tehnică vor fi actualizate, după caz, dacă modificările sistemului afectează elementele reglementate prin acestea.</w:t>
            </w:r>
          </w:p>
        </w:tc>
      </w:tr>
    </w:tbl>
    <w:p w14:paraId="6804B9E9" w14:textId="77777777" w:rsidR="004F12D9" w:rsidRPr="00FA2CDE" w:rsidRDefault="004F12D9" w:rsidP="004F12D9">
      <w:pPr>
        <w:spacing w:after="0" w:line="276" w:lineRule="auto"/>
        <w:rPr>
          <w:color w:val="000000" w:themeColor="text1"/>
          <w:lang w:val="ro-RO"/>
        </w:rPr>
      </w:pPr>
    </w:p>
    <w:p w14:paraId="185D0FF7" w14:textId="77777777" w:rsidR="004F12D9" w:rsidRPr="00FA2CDE" w:rsidRDefault="004F12D9" w:rsidP="004F12D9">
      <w:pPr>
        <w:tabs>
          <w:tab w:val="left" w:pos="993"/>
        </w:tabs>
        <w:spacing w:after="0" w:line="276" w:lineRule="auto"/>
        <w:jc w:val="both"/>
        <w:rPr>
          <w:rFonts w:cs="Times New Roman"/>
          <w:color w:val="000000" w:themeColor="text1"/>
          <w:szCs w:val="24"/>
          <w:lang w:val="ro-RO"/>
        </w:rPr>
      </w:pPr>
    </w:p>
    <w:p w14:paraId="357F418E" w14:textId="77777777" w:rsidR="00F12C76" w:rsidRPr="004F12D9" w:rsidRDefault="00F12C76" w:rsidP="006C0B77">
      <w:pPr>
        <w:spacing w:after="0"/>
        <w:ind w:firstLine="709"/>
        <w:jc w:val="both"/>
        <w:rPr>
          <w:lang w:val="ro-RO"/>
        </w:rPr>
      </w:pPr>
    </w:p>
    <w:sectPr w:rsidR="00F12C76" w:rsidRPr="004F12D9" w:rsidSect="004F12D9">
      <w:footerReference w:type="default" r:id="rId7"/>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6D7FD" w14:textId="77777777" w:rsidR="007806B8" w:rsidRDefault="007806B8">
      <w:pPr>
        <w:spacing w:after="0"/>
      </w:pPr>
      <w:r>
        <w:separator/>
      </w:r>
    </w:p>
  </w:endnote>
  <w:endnote w:type="continuationSeparator" w:id="0">
    <w:p w14:paraId="0222CA79" w14:textId="77777777" w:rsidR="007806B8" w:rsidRDefault="007806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A34EC" w14:textId="77777777" w:rsidR="00775070" w:rsidRPr="0057653E" w:rsidRDefault="00000000">
    <w:pPr>
      <w:pStyle w:val="Footer"/>
      <w:jc w:val="center"/>
    </w:pPr>
    <w:r w:rsidRPr="0057653E">
      <w:fldChar w:fldCharType="begin"/>
    </w:r>
    <w:r w:rsidRPr="0057653E">
      <w:instrText xml:space="preserve"> PAGE </w:instrText>
    </w:r>
    <w:r w:rsidRPr="0057653E">
      <w:fldChar w:fldCharType="separate"/>
    </w:r>
    <w:r>
      <w:rPr>
        <w:noProof/>
      </w:rPr>
      <w:t>1</w:t>
    </w:r>
    <w:r w:rsidRPr="005765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F6FD1" w14:textId="77777777" w:rsidR="007806B8" w:rsidRDefault="007806B8">
      <w:pPr>
        <w:spacing w:after="0"/>
      </w:pPr>
      <w:r>
        <w:separator/>
      </w:r>
    </w:p>
  </w:footnote>
  <w:footnote w:type="continuationSeparator" w:id="0">
    <w:p w14:paraId="30210DCF" w14:textId="77777777" w:rsidR="007806B8" w:rsidRDefault="007806B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116D3"/>
    <w:multiLevelType w:val="hybridMultilevel"/>
    <w:tmpl w:val="38547D58"/>
    <w:lvl w:ilvl="0" w:tplc="2DB020EA">
      <w:start w:val="115"/>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1164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D9"/>
    <w:rsid w:val="00006379"/>
    <w:rsid w:val="004F12D9"/>
    <w:rsid w:val="006C0B77"/>
    <w:rsid w:val="00734573"/>
    <w:rsid w:val="00775070"/>
    <w:rsid w:val="007806B8"/>
    <w:rsid w:val="008242FF"/>
    <w:rsid w:val="00870751"/>
    <w:rsid w:val="00922C48"/>
    <w:rsid w:val="0093636B"/>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1B838"/>
  <w15:chartTrackingRefBased/>
  <w15:docId w15:val="{3E7300C3-EA97-4B87-9A0C-8668BAD8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2D9"/>
    <w:pPr>
      <w:spacing w:after="200" w:line="240" w:lineRule="auto"/>
    </w:pPr>
    <w:rPr>
      <w:rFonts w:ascii="Times New Roman" w:eastAsia="Times New Roman" w:hAnsi="Times New Roman"/>
      <w:sz w:val="24"/>
      <w:lang w:val="en-US"/>
    </w:rPr>
  </w:style>
  <w:style w:type="paragraph" w:styleId="Heading1">
    <w:name w:val="heading 1"/>
    <w:basedOn w:val="Normal"/>
    <w:next w:val="Normal"/>
    <w:link w:val="Heading1Char"/>
    <w:uiPriority w:val="9"/>
    <w:qFormat/>
    <w:rsid w:val="004F12D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F12D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F12D9"/>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4F12D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F12D9"/>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4F12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F12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F12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F12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2D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F12D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F12D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F12D9"/>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4F12D9"/>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4F12D9"/>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4F12D9"/>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4F12D9"/>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4F12D9"/>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4F12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2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2D9"/>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F12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2D9"/>
    <w:pPr>
      <w:spacing w:before="160"/>
      <w:jc w:val="center"/>
    </w:pPr>
    <w:rPr>
      <w:i/>
      <w:iCs/>
      <w:color w:val="404040" w:themeColor="text1" w:themeTint="BF"/>
    </w:rPr>
  </w:style>
  <w:style w:type="character" w:customStyle="1" w:styleId="QuoteChar">
    <w:name w:val="Quote Char"/>
    <w:basedOn w:val="DefaultParagraphFont"/>
    <w:link w:val="Quote"/>
    <w:uiPriority w:val="29"/>
    <w:rsid w:val="004F12D9"/>
    <w:rPr>
      <w:rFonts w:ascii="Times New Roman" w:hAnsi="Times New Roman"/>
      <w:i/>
      <w:iCs/>
      <w:color w:val="404040" w:themeColor="text1" w:themeTint="BF"/>
      <w:sz w:val="28"/>
    </w:rPr>
  </w:style>
  <w:style w:type="paragraph" w:styleId="ListParagraph">
    <w:name w:val="List Paragraph"/>
    <w:basedOn w:val="Normal"/>
    <w:uiPriority w:val="34"/>
    <w:qFormat/>
    <w:rsid w:val="004F12D9"/>
    <w:pPr>
      <w:ind w:left="720"/>
      <w:contextualSpacing/>
    </w:pPr>
  </w:style>
  <w:style w:type="character" w:styleId="IntenseEmphasis">
    <w:name w:val="Intense Emphasis"/>
    <w:basedOn w:val="DefaultParagraphFont"/>
    <w:uiPriority w:val="21"/>
    <w:qFormat/>
    <w:rsid w:val="004F12D9"/>
    <w:rPr>
      <w:i/>
      <w:iCs/>
      <w:color w:val="2E74B5" w:themeColor="accent1" w:themeShade="BF"/>
    </w:rPr>
  </w:style>
  <w:style w:type="paragraph" w:styleId="IntenseQuote">
    <w:name w:val="Intense Quote"/>
    <w:basedOn w:val="Normal"/>
    <w:next w:val="Normal"/>
    <w:link w:val="IntenseQuoteChar"/>
    <w:uiPriority w:val="30"/>
    <w:qFormat/>
    <w:rsid w:val="004F12D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F12D9"/>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4F12D9"/>
    <w:rPr>
      <w:b/>
      <w:bCs/>
      <w:smallCaps/>
      <w:color w:val="2E74B5" w:themeColor="accent1" w:themeShade="BF"/>
      <w:spacing w:val="5"/>
    </w:rPr>
  </w:style>
  <w:style w:type="paragraph" w:styleId="Footer">
    <w:name w:val="footer"/>
    <w:basedOn w:val="Normal"/>
    <w:link w:val="FooterChar"/>
    <w:uiPriority w:val="99"/>
    <w:unhideWhenUsed/>
    <w:rsid w:val="004F12D9"/>
    <w:pPr>
      <w:tabs>
        <w:tab w:val="center" w:pos="4680"/>
        <w:tab w:val="right" w:pos="9360"/>
      </w:tabs>
      <w:spacing w:after="0"/>
    </w:pPr>
  </w:style>
  <w:style w:type="character" w:customStyle="1" w:styleId="FooterChar">
    <w:name w:val="Footer Char"/>
    <w:basedOn w:val="DefaultParagraphFont"/>
    <w:link w:val="Footer"/>
    <w:uiPriority w:val="99"/>
    <w:rsid w:val="004F12D9"/>
    <w:rPr>
      <w:rFonts w:ascii="Times New Roman" w:eastAsia="Times New Roman" w:hAnsi="Times New Roman"/>
      <w:sz w:val="24"/>
      <w:lang w:val="en-US"/>
    </w:rPr>
  </w:style>
  <w:style w:type="table" w:styleId="TableGrid">
    <w:name w:val="Table Grid"/>
    <w:basedOn w:val="TableNormal"/>
    <w:uiPriority w:val="59"/>
    <w:rsid w:val="004F12D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7203</Words>
  <Characters>41062</Characters>
  <Application>Microsoft Office Word</Application>
  <DocSecurity>0</DocSecurity>
  <Lines>342</Lines>
  <Paragraphs>96</Paragraphs>
  <ScaleCrop>false</ScaleCrop>
  <Company/>
  <LinksUpToDate>false</LinksUpToDate>
  <CharactersWithSpaces>48169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Cazimir</dc:creator>
  <cp:keywords/>
  <dc:description/>
  <cp:lastModifiedBy>Cazimir</cp:lastModifiedBy>
  <cp:revision>2</cp:revision>
  <dcterms:created xsi:type="dcterms:W3CDTF">2026-08-26T11:44:00Z</dcterms:created>
  <dcterms:modified xsi:type="dcterms:W3CDTF">2026-09-10T13:30:00Z</dcterms:modified>
</cp:coreProperties>
</file>