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B609F" w:rsidRPr="003D35B9" w:rsidRDefault="00FB609F">
      <w:pPr>
        <w:widowControl w:val="0"/>
        <w:pBdr>
          <w:top w:val="nil"/>
          <w:left w:val="nil"/>
          <w:bottom w:val="nil"/>
          <w:right w:val="nil"/>
          <w:between w:val="nil"/>
        </w:pBdr>
        <w:spacing w:line="276" w:lineRule="auto"/>
        <w:rPr>
          <w:rFonts w:ascii="Arial" w:eastAsia="Arial" w:hAnsi="Arial" w:cs="Arial"/>
          <w:color w:val="000000"/>
          <w:sz w:val="22"/>
          <w:szCs w:val="22"/>
        </w:rPr>
      </w:pPr>
    </w:p>
    <w:p w14:paraId="13855EDE" w14:textId="7B208A85" w:rsidR="004D5812" w:rsidRPr="003D35B9" w:rsidRDefault="00F62480" w:rsidP="004D5812">
      <w:pPr>
        <w:jc w:val="center"/>
        <w:rPr>
          <w:b/>
          <w:sz w:val="32"/>
          <w:szCs w:val="32"/>
        </w:rPr>
      </w:pPr>
      <w:r w:rsidRPr="003D35B9">
        <w:rPr>
          <w:b/>
          <w:sz w:val="32"/>
          <w:szCs w:val="32"/>
        </w:rPr>
        <w:t>Analiza impactului de reglementare la proiectul</w:t>
      </w:r>
    </w:p>
    <w:p w14:paraId="3C713979" w14:textId="6D6687EA" w:rsidR="004D5812" w:rsidRPr="003D35B9" w:rsidRDefault="00D90E71" w:rsidP="004D5812">
      <w:pPr>
        <w:jc w:val="center"/>
        <w:rPr>
          <w:b/>
          <w:sz w:val="32"/>
          <w:szCs w:val="32"/>
        </w:rPr>
      </w:pPr>
      <w:r w:rsidRPr="003D35B9">
        <w:rPr>
          <w:b/>
          <w:sz w:val="32"/>
          <w:szCs w:val="32"/>
        </w:rPr>
        <w:t xml:space="preserve">Regulamentului privind </w:t>
      </w:r>
      <w:r w:rsidR="00ED71E8">
        <w:rPr>
          <w:b/>
          <w:sz w:val="32"/>
          <w:szCs w:val="32"/>
        </w:rPr>
        <w:t>admiterea în exploatare a instalațiilor electrice</w:t>
      </w:r>
    </w:p>
    <w:p w14:paraId="6EFA11C2" w14:textId="77777777" w:rsidR="002042F7" w:rsidRPr="003D35B9" w:rsidRDefault="002042F7" w:rsidP="004D5812">
      <w:pPr>
        <w:jc w:val="center"/>
        <w:rPr>
          <w:b/>
          <w:sz w:val="32"/>
          <w:szCs w:val="32"/>
        </w:rPr>
      </w:pPr>
    </w:p>
    <w:tbl>
      <w:tblPr>
        <w:tblStyle w:val="a"/>
        <w:tblW w:w="961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5644"/>
      </w:tblGrid>
      <w:tr w:rsidR="00FB609F" w:rsidRPr="003D35B9" w14:paraId="0F1BDE36" w14:textId="77777777" w:rsidTr="00232956">
        <w:tc>
          <w:tcPr>
            <w:tcW w:w="3970" w:type="dxa"/>
            <w:tcBorders>
              <w:top w:val="single" w:sz="4" w:space="0" w:color="000000"/>
              <w:left w:val="single" w:sz="4" w:space="0" w:color="000000"/>
              <w:bottom w:val="single" w:sz="4" w:space="0" w:color="000000"/>
              <w:right w:val="single" w:sz="4" w:space="0" w:color="000000"/>
            </w:tcBorders>
          </w:tcPr>
          <w:p w14:paraId="00000003" w14:textId="77777777" w:rsidR="00FB609F" w:rsidRPr="003D35B9" w:rsidRDefault="00F62480">
            <w:pPr>
              <w:pBdr>
                <w:top w:val="nil"/>
                <w:left w:val="nil"/>
                <w:bottom w:val="nil"/>
                <w:right w:val="nil"/>
                <w:between w:val="nil"/>
              </w:pBdr>
              <w:spacing w:line="256" w:lineRule="auto"/>
              <w:rPr>
                <w:rFonts w:ascii="Times New Roman" w:eastAsia="Times New Roman" w:hAnsi="Times New Roman" w:cs="Times New Roman"/>
                <w:b/>
                <w:sz w:val="24"/>
                <w:szCs w:val="24"/>
              </w:rPr>
            </w:pPr>
            <w:r w:rsidRPr="003D35B9">
              <w:rPr>
                <w:rFonts w:ascii="Times New Roman" w:eastAsia="Times New Roman" w:hAnsi="Times New Roman" w:cs="Times New Roman"/>
                <w:b/>
                <w:sz w:val="24"/>
                <w:szCs w:val="24"/>
              </w:rPr>
              <w:t xml:space="preserve">Titlul analizei impactului </w:t>
            </w:r>
          </w:p>
          <w:p w14:paraId="00000004" w14:textId="77777777" w:rsidR="00FB609F" w:rsidRPr="003D35B9" w:rsidRDefault="00FB609F">
            <w:pPr>
              <w:pBdr>
                <w:top w:val="nil"/>
                <w:left w:val="nil"/>
                <w:bottom w:val="nil"/>
                <w:right w:val="nil"/>
                <w:between w:val="nil"/>
              </w:pBdr>
              <w:spacing w:line="256" w:lineRule="auto"/>
              <w:rPr>
                <w:rFonts w:ascii="Times New Roman" w:eastAsia="Times New Roman" w:hAnsi="Times New Roman" w:cs="Times New Roman"/>
                <w:b/>
                <w:sz w:val="24"/>
                <w:szCs w:val="24"/>
              </w:rPr>
            </w:pPr>
          </w:p>
        </w:tc>
        <w:tc>
          <w:tcPr>
            <w:tcW w:w="5644" w:type="dxa"/>
            <w:tcBorders>
              <w:top w:val="single" w:sz="4" w:space="0" w:color="000000"/>
              <w:left w:val="single" w:sz="4" w:space="0" w:color="000000"/>
              <w:bottom w:val="single" w:sz="4" w:space="0" w:color="000000"/>
              <w:right w:val="single" w:sz="4" w:space="0" w:color="000000"/>
            </w:tcBorders>
          </w:tcPr>
          <w:p w14:paraId="00000005" w14:textId="3F5EA7DE" w:rsidR="00FB609F" w:rsidRPr="003D35B9" w:rsidRDefault="00F62480" w:rsidP="00ED71E8">
            <w:pPr>
              <w:pBdr>
                <w:top w:val="nil"/>
                <w:left w:val="nil"/>
                <w:bottom w:val="nil"/>
                <w:right w:val="nil"/>
                <w:between w:val="nil"/>
              </w:pBdr>
              <w:spacing w:line="256" w:lineRule="auto"/>
              <w:rPr>
                <w:rFonts w:ascii="Times New Roman" w:eastAsia="Times New Roman" w:hAnsi="Times New Roman" w:cs="Times New Roman"/>
                <w:sz w:val="24"/>
                <w:szCs w:val="24"/>
              </w:rPr>
            </w:pPr>
            <w:r w:rsidRPr="003D35B9">
              <w:rPr>
                <w:rFonts w:ascii="Times New Roman" w:eastAsia="Times New Roman" w:hAnsi="Times New Roman" w:cs="Times New Roman"/>
                <w:sz w:val="24"/>
                <w:szCs w:val="24"/>
              </w:rPr>
              <w:t xml:space="preserve">Analiza impactului de reglementare </w:t>
            </w:r>
            <w:r w:rsidR="00A33807" w:rsidRPr="003D35B9">
              <w:rPr>
                <w:rFonts w:ascii="Times New Roman" w:eastAsia="Times New Roman" w:hAnsi="Times New Roman" w:cs="Times New Roman"/>
                <w:sz w:val="24"/>
                <w:szCs w:val="24"/>
              </w:rPr>
              <w:t xml:space="preserve">la proiectul </w:t>
            </w:r>
            <w:r w:rsidR="00D90E71" w:rsidRPr="003D35B9">
              <w:rPr>
                <w:rFonts w:ascii="Times New Roman" w:eastAsia="Times New Roman" w:hAnsi="Times New Roman" w:cs="Times New Roman"/>
                <w:sz w:val="24"/>
                <w:szCs w:val="24"/>
              </w:rPr>
              <w:t xml:space="preserve">Regulamentului privind </w:t>
            </w:r>
            <w:r w:rsidR="00ED71E8">
              <w:rPr>
                <w:rFonts w:ascii="Times New Roman" w:eastAsia="Times New Roman" w:hAnsi="Times New Roman" w:cs="Times New Roman"/>
                <w:sz w:val="24"/>
                <w:szCs w:val="24"/>
              </w:rPr>
              <w:t>admiterea în exploatare a instalațiilor electrice</w:t>
            </w:r>
          </w:p>
        </w:tc>
      </w:tr>
      <w:tr w:rsidR="00FB609F" w:rsidRPr="003D35B9" w14:paraId="3B287537" w14:textId="77777777" w:rsidTr="00232956">
        <w:tc>
          <w:tcPr>
            <w:tcW w:w="3970" w:type="dxa"/>
            <w:tcBorders>
              <w:top w:val="single" w:sz="4" w:space="0" w:color="000000"/>
              <w:left w:val="single" w:sz="4" w:space="0" w:color="000000"/>
              <w:bottom w:val="single" w:sz="4" w:space="0" w:color="000000"/>
              <w:right w:val="single" w:sz="4" w:space="0" w:color="000000"/>
            </w:tcBorders>
          </w:tcPr>
          <w:p w14:paraId="00000006" w14:textId="77777777" w:rsidR="00FB609F" w:rsidRPr="003D35B9" w:rsidRDefault="00F62480">
            <w:pPr>
              <w:pBdr>
                <w:top w:val="nil"/>
                <w:left w:val="nil"/>
                <w:bottom w:val="nil"/>
                <w:right w:val="nil"/>
                <w:between w:val="nil"/>
              </w:pBdr>
              <w:spacing w:line="256" w:lineRule="auto"/>
              <w:rPr>
                <w:rFonts w:ascii="Times New Roman" w:eastAsia="Times New Roman" w:hAnsi="Times New Roman" w:cs="Times New Roman"/>
                <w:b/>
                <w:sz w:val="24"/>
                <w:szCs w:val="24"/>
              </w:rPr>
            </w:pPr>
            <w:r w:rsidRPr="003D35B9">
              <w:rPr>
                <w:rFonts w:ascii="Times New Roman" w:eastAsia="Times New Roman" w:hAnsi="Times New Roman" w:cs="Times New Roman"/>
                <w:b/>
                <w:sz w:val="24"/>
                <w:szCs w:val="24"/>
              </w:rPr>
              <w:t>Data:</w:t>
            </w:r>
          </w:p>
        </w:tc>
        <w:tc>
          <w:tcPr>
            <w:tcW w:w="5644" w:type="dxa"/>
            <w:tcBorders>
              <w:top w:val="single" w:sz="4" w:space="0" w:color="000000"/>
              <w:left w:val="single" w:sz="4" w:space="0" w:color="000000"/>
              <w:bottom w:val="single" w:sz="4" w:space="0" w:color="000000"/>
              <w:right w:val="single" w:sz="4" w:space="0" w:color="000000"/>
            </w:tcBorders>
          </w:tcPr>
          <w:p w14:paraId="00000007" w14:textId="77777777" w:rsidR="00FB609F" w:rsidRPr="003D35B9" w:rsidRDefault="00FB609F">
            <w:pPr>
              <w:pBdr>
                <w:top w:val="nil"/>
                <w:left w:val="nil"/>
                <w:bottom w:val="nil"/>
                <w:right w:val="nil"/>
                <w:between w:val="nil"/>
              </w:pBdr>
              <w:spacing w:line="256" w:lineRule="auto"/>
              <w:rPr>
                <w:rFonts w:ascii="Times New Roman" w:eastAsia="Times New Roman" w:hAnsi="Times New Roman" w:cs="Times New Roman"/>
                <w:sz w:val="24"/>
                <w:szCs w:val="24"/>
              </w:rPr>
            </w:pPr>
          </w:p>
        </w:tc>
      </w:tr>
      <w:tr w:rsidR="00FB609F" w:rsidRPr="003D35B9" w14:paraId="1A259048" w14:textId="77777777" w:rsidTr="00232956">
        <w:tc>
          <w:tcPr>
            <w:tcW w:w="3970" w:type="dxa"/>
            <w:tcBorders>
              <w:top w:val="single" w:sz="4" w:space="0" w:color="000000"/>
              <w:left w:val="single" w:sz="4" w:space="0" w:color="000000"/>
              <w:bottom w:val="single" w:sz="4" w:space="0" w:color="000000"/>
              <w:right w:val="single" w:sz="4" w:space="0" w:color="000000"/>
            </w:tcBorders>
          </w:tcPr>
          <w:p w14:paraId="00000008" w14:textId="77777777" w:rsidR="00FB609F" w:rsidRPr="003D35B9" w:rsidRDefault="00F62480">
            <w:pPr>
              <w:pBdr>
                <w:top w:val="nil"/>
                <w:left w:val="nil"/>
                <w:bottom w:val="nil"/>
                <w:right w:val="nil"/>
                <w:between w:val="nil"/>
              </w:pBdr>
              <w:spacing w:line="256" w:lineRule="auto"/>
              <w:rPr>
                <w:rFonts w:ascii="Times New Roman" w:eastAsia="Times New Roman" w:hAnsi="Times New Roman" w:cs="Times New Roman"/>
                <w:b/>
                <w:sz w:val="24"/>
                <w:szCs w:val="24"/>
              </w:rPr>
            </w:pPr>
            <w:r w:rsidRPr="003D35B9">
              <w:rPr>
                <w:rFonts w:ascii="Times New Roman" w:eastAsia="Times New Roman" w:hAnsi="Times New Roman" w:cs="Times New Roman"/>
                <w:b/>
                <w:sz w:val="24"/>
                <w:szCs w:val="24"/>
              </w:rPr>
              <w:t>Autoritatea administrației publice (autor):</w:t>
            </w:r>
          </w:p>
        </w:tc>
        <w:tc>
          <w:tcPr>
            <w:tcW w:w="5644" w:type="dxa"/>
            <w:tcBorders>
              <w:top w:val="single" w:sz="4" w:space="0" w:color="000000"/>
              <w:left w:val="single" w:sz="4" w:space="0" w:color="000000"/>
              <w:bottom w:val="single" w:sz="4" w:space="0" w:color="000000"/>
              <w:right w:val="single" w:sz="4" w:space="0" w:color="000000"/>
            </w:tcBorders>
          </w:tcPr>
          <w:p w14:paraId="00000009" w14:textId="6A4E314F" w:rsidR="00FB609F" w:rsidRPr="003D35B9" w:rsidRDefault="00F62480">
            <w:pPr>
              <w:pBdr>
                <w:top w:val="nil"/>
                <w:left w:val="nil"/>
                <w:bottom w:val="nil"/>
                <w:right w:val="nil"/>
                <w:between w:val="nil"/>
              </w:pBdr>
              <w:spacing w:line="256" w:lineRule="auto"/>
              <w:rPr>
                <w:rFonts w:ascii="Times New Roman" w:eastAsia="Times New Roman" w:hAnsi="Times New Roman" w:cs="Times New Roman"/>
                <w:sz w:val="24"/>
                <w:szCs w:val="24"/>
              </w:rPr>
            </w:pPr>
            <w:r w:rsidRPr="003D35B9">
              <w:rPr>
                <w:rFonts w:ascii="Times New Roman" w:eastAsia="Times New Roman" w:hAnsi="Times New Roman" w:cs="Times New Roman"/>
                <w:sz w:val="24"/>
                <w:szCs w:val="24"/>
              </w:rPr>
              <w:t>Agenția Națională pentru Reglementare în Energetică</w:t>
            </w:r>
            <w:r w:rsidR="00D42181" w:rsidRPr="003D35B9">
              <w:rPr>
                <w:rFonts w:ascii="Times New Roman" w:eastAsia="Times New Roman" w:hAnsi="Times New Roman" w:cs="Times New Roman"/>
                <w:sz w:val="24"/>
                <w:szCs w:val="24"/>
              </w:rPr>
              <w:t xml:space="preserve"> (ANRE)</w:t>
            </w:r>
          </w:p>
        </w:tc>
      </w:tr>
      <w:tr w:rsidR="00FB609F" w:rsidRPr="003D35B9" w14:paraId="2E1CD0B5" w14:textId="77777777" w:rsidTr="00232956">
        <w:tc>
          <w:tcPr>
            <w:tcW w:w="3970" w:type="dxa"/>
            <w:tcBorders>
              <w:top w:val="single" w:sz="4" w:space="0" w:color="000000"/>
              <w:left w:val="single" w:sz="4" w:space="0" w:color="000000"/>
              <w:bottom w:val="single" w:sz="4" w:space="0" w:color="000000"/>
              <w:right w:val="single" w:sz="4" w:space="0" w:color="000000"/>
            </w:tcBorders>
          </w:tcPr>
          <w:p w14:paraId="0000000A" w14:textId="77777777" w:rsidR="00FB609F" w:rsidRPr="003D35B9" w:rsidRDefault="00F62480">
            <w:pPr>
              <w:pBdr>
                <w:top w:val="nil"/>
                <w:left w:val="nil"/>
                <w:bottom w:val="nil"/>
                <w:right w:val="nil"/>
                <w:between w:val="nil"/>
              </w:pBdr>
              <w:spacing w:line="256" w:lineRule="auto"/>
              <w:rPr>
                <w:rFonts w:ascii="Times New Roman" w:eastAsia="Times New Roman" w:hAnsi="Times New Roman" w:cs="Times New Roman"/>
                <w:b/>
                <w:sz w:val="24"/>
                <w:szCs w:val="24"/>
              </w:rPr>
            </w:pPr>
            <w:r w:rsidRPr="003D35B9">
              <w:rPr>
                <w:rFonts w:ascii="Times New Roman" w:eastAsia="Times New Roman" w:hAnsi="Times New Roman" w:cs="Times New Roman"/>
                <w:b/>
                <w:sz w:val="24"/>
                <w:szCs w:val="24"/>
              </w:rPr>
              <w:t>Subdiviziunea:</w:t>
            </w:r>
          </w:p>
        </w:tc>
        <w:tc>
          <w:tcPr>
            <w:tcW w:w="5644" w:type="dxa"/>
            <w:tcBorders>
              <w:top w:val="single" w:sz="4" w:space="0" w:color="000000"/>
              <w:left w:val="single" w:sz="4" w:space="0" w:color="000000"/>
              <w:bottom w:val="single" w:sz="4" w:space="0" w:color="000000"/>
              <w:right w:val="single" w:sz="4" w:space="0" w:color="000000"/>
            </w:tcBorders>
          </w:tcPr>
          <w:p w14:paraId="0000000B" w14:textId="2405EC37" w:rsidR="00FB609F" w:rsidRPr="003D35B9" w:rsidRDefault="002042F7" w:rsidP="00BB3353">
            <w:pPr>
              <w:pBdr>
                <w:top w:val="nil"/>
                <w:left w:val="nil"/>
                <w:bottom w:val="nil"/>
                <w:right w:val="nil"/>
                <w:between w:val="nil"/>
              </w:pBdr>
              <w:spacing w:line="256" w:lineRule="auto"/>
              <w:rPr>
                <w:rFonts w:ascii="Times New Roman" w:eastAsia="Times New Roman" w:hAnsi="Times New Roman" w:cs="Times New Roman"/>
                <w:sz w:val="24"/>
                <w:szCs w:val="24"/>
              </w:rPr>
            </w:pPr>
            <w:r w:rsidRPr="003D35B9">
              <w:rPr>
                <w:rFonts w:ascii="Times New Roman" w:eastAsia="Times New Roman" w:hAnsi="Times New Roman" w:cs="Times New Roman"/>
                <w:sz w:val="24"/>
                <w:szCs w:val="24"/>
              </w:rPr>
              <w:t xml:space="preserve">Secția </w:t>
            </w:r>
            <w:r w:rsidR="00635BE5" w:rsidRPr="003D35B9">
              <w:rPr>
                <w:rFonts w:ascii="Times New Roman" w:eastAsia="Times New Roman" w:hAnsi="Times New Roman" w:cs="Times New Roman"/>
                <w:sz w:val="24"/>
                <w:szCs w:val="24"/>
              </w:rPr>
              <w:t>documente normative și supraveghere energetică</w:t>
            </w:r>
            <w:r w:rsidR="00F62480" w:rsidRPr="003D35B9">
              <w:rPr>
                <w:rFonts w:ascii="Times New Roman" w:eastAsia="Times New Roman" w:hAnsi="Times New Roman" w:cs="Times New Roman"/>
                <w:sz w:val="24"/>
                <w:szCs w:val="24"/>
              </w:rPr>
              <w:t xml:space="preserve">, Departamentul </w:t>
            </w:r>
            <w:r w:rsidR="00635BE5" w:rsidRPr="003D35B9">
              <w:rPr>
                <w:rFonts w:ascii="Times New Roman" w:eastAsia="Times New Roman" w:hAnsi="Times New Roman" w:cs="Times New Roman"/>
                <w:sz w:val="24"/>
                <w:szCs w:val="24"/>
              </w:rPr>
              <w:t>supraveghere energetică</w:t>
            </w:r>
          </w:p>
        </w:tc>
      </w:tr>
      <w:tr w:rsidR="00FB609F" w:rsidRPr="003D35B9" w14:paraId="227F6C39" w14:textId="77777777" w:rsidTr="00A33807">
        <w:trPr>
          <w:trHeight w:val="1323"/>
        </w:trPr>
        <w:tc>
          <w:tcPr>
            <w:tcW w:w="3970" w:type="dxa"/>
            <w:tcBorders>
              <w:top w:val="single" w:sz="4" w:space="0" w:color="000000"/>
              <w:left w:val="single" w:sz="4" w:space="0" w:color="000000"/>
              <w:bottom w:val="single" w:sz="4" w:space="0" w:color="000000"/>
              <w:right w:val="single" w:sz="4" w:space="0" w:color="000000"/>
            </w:tcBorders>
          </w:tcPr>
          <w:p w14:paraId="0000000C" w14:textId="77777777" w:rsidR="00FB609F" w:rsidRPr="003D35B9" w:rsidRDefault="00F62480">
            <w:pPr>
              <w:pBdr>
                <w:top w:val="nil"/>
                <w:left w:val="nil"/>
                <w:bottom w:val="nil"/>
                <w:right w:val="nil"/>
                <w:between w:val="nil"/>
              </w:pBdr>
              <w:spacing w:line="256" w:lineRule="auto"/>
              <w:rPr>
                <w:rFonts w:ascii="Times New Roman" w:eastAsia="Times New Roman" w:hAnsi="Times New Roman" w:cs="Times New Roman"/>
                <w:b/>
                <w:sz w:val="24"/>
                <w:szCs w:val="24"/>
              </w:rPr>
            </w:pPr>
            <w:r w:rsidRPr="003D35B9">
              <w:rPr>
                <w:rFonts w:ascii="Times New Roman" w:eastAsia="Times New Roman" w:hAnsi="Times New Roman" w:cs="Times New Roman"/>
                <w:b/>
                <w:sz w:val="24"/>
                <w:szCs w:val="24"/>
              </w:rPr>
              <w:t>Persoana responsabilă şi datele de contact:</w:t>
            </w:r>
          </w:p>
        </w:tc>
        <w:tc>
          <w:tcPr>
            <w:tcW w:w="5644" w:type="dxa"/>
            <w:tcBorders>
              <w:top w:val="single" w:sz="4" w:space="0" w:color="000000"/>
              <w:left w:val="single" w:sz="4" w:space="0" w:color="000000"/>
              <w:bottom w:val="single" w:sz="4" w:space="0" w:color="000000"/>
              <w:right w:val="single" w:sz="4" w:space="0" w:color="000000"/>
            </w:tcBorders>
          </w:tcPr>
          <w:p w14:paraId="58152A19" w14:textId="117BCE82" w:rsidR="002042F7" w:rsidRPr="003D35B9" w:rsidRDefault="00D25AA9" w:rsidP="002042F7">
            <w:pPr>
              <w:pBdr>
                <w:top w:val="nil"/>
                <w:left w:val="nil"/>
                <w:bottom w:val="nil"/>
                <w:right w:val="nil"/>
                <w:between w:val="nil"/>
              </w:pBdr>
              <w:spacing w:line="256" w:lineRule="auto"/>
              <w:rPr>
                <w:rFonts w:ascii="Times New Roman" w:hAnsi="Times New Roman" w:cs="Times New Roman"/>
                <w:sz w:val="24"/>
                <w:szCs w:val="24"/>
                <w:lang w:eastAsia="ja-JP"/>
              </w:rPr>
            </w:pPr>
            <w:r w:rsidRPr="003D35B9">
              <w:rPr>
                <w:rFonts w:ascii="Times New Roman" w:hAnsi="Times New Roman" w:cs="Times New Roman"/>
                <w:sz w:val="24"/>
                <w:szCs w:val="24"/>
                <w:lang w:eastAsia="ja-JP"/>
              </w:rPr>
              <w:t>Visarion Coțofana</w:t>
            </w:r>
            <w:r w:rsidR="002042F7" w:rsidRPr="003D35B9">
              <w:rPr>
                <w:rFonts w:ascii="Times New Roman" w:hAnsi="Times New Roman" w:cs="Times New Roman"/>
                <w:sz w:val="24"/>
                <w:szCs w:val="24"/>
                <w:lang w:eastAsia="ja-JP"/>
              </w:rPr>
              <w:t xml:space="preserve"> - șef secție </w:t>
            </w:r>
          </w:p>
          <w:p w14:paraId="00000010" w14:textId="1470DE0B" w:rsidR="007616CC" w:rsidRPr="003D35B9" w:rsidRDefault="002042F7" w:rsidP="00577DE0">
            <w:pPr>
              <w:pBdr>
                <w:top w:val="nil"/>
                <w:left w:val="nil"/>
                <w:bottom w:val="nil"/>
                <w:right w:val="nil"/>
                <w:between w:val="nil"/>
              </w:pBdr>
              <w:spacing w:line="256" w:lineRule="auto"/>
              <w:rPr>
                <w:rFonts w:ascii="Times New Roman" w:hAnsi="Times New Roman" w:cs="Times New Roman"/>
                <w:sz w:val="24"/>
                <w:szCs w:val="24"/>
                <w:lang w:eastAsia="ja-JP"/>
              </w:rPr>
            </w:pPr>
            <w:r w:rsidRPr="003D35B9">
              <w:rPr>
                <w:rFonts w:ascii="Times New Roman" w:hAnsi="Times New Roman" w:cs="Times New Roman"/>
                <w:sz w:val="24"/>
                <w:szCs w:val="24"/>
                <w:lang w:eastAsia="ja-JP"/>
              </w:rPr>
              <w:t xml:space="preserve">Tel: </w:t>
            </w:r>
            <w:r w:rsidRPr="00577DE0">
              <w:rPr>
                <w:rFonts w:ascii="Times New Roman" w:hAnsi="Times New Roman" w:cs="Times New Roman"/>
                <w:sz w:val="24"/>
                <w:szCs w:val="24"/>
                <w:lang w:eastAsia="ja-JP"/>
              </w:rPr>
              <w:t xml:space="preserve">022 </w:t>
            </w:r>
            <w:r w:rsidR="00577DE0" w:rsidRPr="00577DE0">
              <w:rPr>
                <w:rFonts w:ascii="Times New Roman" w:hAnsi="Times New Roman" w:cs="Times New Roman"/>
                <w:sz w:val="24"/>
                <w:szCs w:val="24"/>
                <w:lang w:eastAsia="ja-JP"/>
              </w:rPr>
              <w:t>22</w:t>
            </w:r>
            <w:r w:rsidRPr="00577DE0">
              <w:rPr>
                <w:rFonts w:ascii="Times New Roman" w:hAnsi="Times New Roman" w:cs="Times New Roman"/>
                <w:sz w:val="24"/>
                <w:szCs w:val="24"/>
                <w:lang w:eastAsia="ja-JP"/>
              </w:rPr>
              <w:t xml:space="preserve">2 </w:t>
            </w:r>
            <w:r w:rsidR="00577DE0" w:rsidRPr="00577DE0">
              <w:rPr>
                <w:rFonts w:ascii="Times New Roman" w:hAnsi="Times New Roman" w:cs="Times New Roman"/>
                <w:sz w:val="24"/>
                <w:szCs w:val="24"/>
                <w:lang w:eastAsia="ja-JP"/>
              </w:rPr>
              <w:t>382</w:t>
            </w:r>
            <w:r w:rsidRPr="00577DE0">
              <w:rPr>
                <w:rFonts w:ascii="Times New Roman" w:hAnsi="Times New Roman" w:cs="Times New Roman"/>
                <w:sz w:val="24"/>
                <w:szCs w:val="24"/>
                <w:lang w:eastAsia="ja-JP"/>
              </w:rPr>
              <w:t>,</w:t>
            </w:r>
            <w:r w:rsidRPr="003D35B9">
              <w:rPr>
                <w:rFonts w:ascii="Times New Roman" w:hAnsi="Times New Roman" w:cs="Times New Roman"/>
                <w:sz w:val="24"/>
                <w:szCs w:val="24"/>
                <w:lang w:eastAsia="ja-JP"/>
              </w:rPr>
              <w:t xml:space="preserve"> </w:t>
            </w:r>
            <w:hyperlink r:id="rId8" w:history="1">
              <w:r w:rsidR="007616CC" w:rsidRPr="003D35B9">
                <w:rPr>
                  <w:rStyle w:val="Hyperlink"/>
                  <w:rFonts w:ascii="Times New Roman" w:hAnsi="Times New Roman" w:cs="Times New Roman"/>
                  <w:sz w:val="24"/>
                  <w:szCs w:val="24"/>
                </w:rPr>
                <w:t>vcotofana@anre.md</w:t>
              </w:r>
            </w:hyperlink>
            <w:r w:rsidRPr="003D35B9">
              <w:rPr>
                <w:rFonts w:ascii="Times New Roman" w:hAnsi="Times New Roman" w:cs="Times New Roman"/>
                <w:sz w:val="24"/>
                <w:szCs w:val="24"/>
                <w:lang w:eastAsia="ja-JP"/>
              </w:rPr>
              <w:t>.</w:t>
            </w:r>
            <w:r w:rsidR="007616CC" w:rsidRPr="003D35B9">
              <w:rPr>
                <w:rFonts w:ascii="Times New Roman" w:hAnsi="Times New Roman" w:cs="Times New Roman"/>
                <w:sz w:val="24"/>
                <w:szCs w:val="24"/>
                <w:lang w:eastAsia="ja-JP"/>
              </w:rPr>
              <w:t xml:space="preserve"> </w:t>
            </w:r>
          </w:p>
        </w:tc>
      </w:tr>
    </w:tbl>
    <w:p w14:paraId="00000011" w14:textId="77777777" w:rsidR="00FB609F" w:rsidRPr="003D35B9" w:rsidRDefault="00FB609F"/>
    <w:tbl>
      <w:tblPr>
        <w:tblStyle w:val="a0"/>
        <w:tblW w:w="9640" w:type="dxa"/>
        <w:tblInd w:w="-289" w:type="dxa"/>
        <w:tblBorders>
          <w:top w:val="single" w:sz="6" w:space="0" w:color="C1C7CD"/>
          <w:left w:val="single" w:sz="6" w:space="0" w:color="C1C7CD"/>
          <w:bottom w:val="single" w:sz="6" w:space="0" w:color="C1C7CD"/>
          <w:right w:val="single" w:sz="6" w:space="0" w:color="C1C7CD"/>
        </w:tblBorders>
        <w:tblLayout w:type="fixed"/>
        <w:tblLook w:val="0400" w:firstRow="0" w:lastRow="0" w:firstColumn="0" w:lastColumn="0" w:noHBand="0" w:noVBand="1"/>
      </w:tblPr>
      <w:tblGrid>
        <w:gridCol w:w="9640"/>
      </w:tblGrid>
      <w:tr w:rsidR="00FB609F" w:rsidRPr="003D35B9" w14:paraId="0D679097" w14:textId="77777777" w:rsidTr="007920FA">
        <w:tc>
          <w:tcPr>
            <w:tcW w:w="9640" w:type="dxa"/>
            <w:tcBorders>
              <w:top w:val="single" w:sz="4"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12" w14:textId="77777777" w:rsidR="00FB609F" w:rsidRPr="003D35B9" w:rsidRDefault="00F62480">
            <w:r w:rsidRPr="003D35B9">
              <w:rPr>
                <w:b/>
              </w:rPr>
              <w:t> Compartimentele analizei impactului</w:t>
            </w:r>
          </w:p>
        </w:tc>
      </w:tr>
      <w:tr w:rsidR="00FB609F" w:rsidRPr="003D35B9" w14:paraId="5922A814"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13" w14:textId="77777777" w:rsidR="00FB609F" w:rsidRPr="003D35B9" w:rsidRDefault="00F62480">
            <w:r w:rsidRPr="003D35B9">
              <w:rPr>
                <w:b/>
              </w:rPr>
              <w:t>1. Definirea problemei</w:t>
            </w:r>
          </w:p>
        </w:tc>
      </w:tr>
      <w:tr w:rsidR="00FB609F" w:rsidRPr="003D35B9" w14:paraId="2196DC16"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14" w14:textId="77777777" w:rsidR="00FB609F" w:rsidRPr="003D35B9" w:rsidRDefault="00F62480">
            <w:r w:rsidRPr="003D35B9">
              <w:rPr>
                <w:b/>
                <w:i/>
              </w:rPr>
              <w:t>a) Determinați clar şi concis problema şi/sau problemele care urmează să fie soluționate</w:t>
            </w:r>
          </w:p>
        </w:tc>
      </w:tr>
      <w:tr w:rsidR="00FB609F" w:rsidRPr="003D35B9" w14:paraId="33860325"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22E72554" w14:textId="27CBA1D7" w:rsidR="00BB1B97" w:rsidRDefault="00915C1F" w:rsidP="00166211">
            <w:pPr>
              <w:tabs>
                <w:tab w:val="left" w:pos="0"/>
                <w:tab w:val="left" w:pos="360"/>
                <w:tab w:val="left" w:pos="1309"/>
                <w:tab w:val="left" w:pos="9355"/>
              </w:tabs>
              <w:ind w:firstLine="587"/>
              <w:jc w:val="both"/>
            </w:pPr>
            <w:r>
              <w:rPr>
                <w:shd w:val="clear" w:color="auto" w:fill="FFFFFF"/>
              </w:rPr>
              <w:t>În prezent</w:t>
            </w:r>
            <w:r w:rsidR="00BB1B97">
              <w:rPr>
                <w:shd w:val="clear" w:color="auto" w:fill="FFFFFF"/>
              </w:rPr>
              <w:t>, actul de corespundere</w:t>
            </w:r>
            <w:r w:rsidR="00C3606B">
              <w:rPr>
                <w:shd w:val="clear" w:color="auto" w:fill="FFFFFF"/>
              </w:rPr>
              <w:t xml:space="preserve"> se emite în baza </w:t>
            </w:r>
            <w:r w:rsidR="00C3606B" w:rsidRPr="00DD7242">
              <w:t>„Regulam</w:t>
            </w:r>
            <w:r w:rsidR="00C3606B">
              <w:t xml:space="preserve">entul privind modul de admitere </w:t>
            </w:r>
            <w:r w:rsidR="00C3606B" w:rsidRPr="00DD7242">
              <w:t>în exploatare a instalațiilor energetice” aprobat prin ordinul Inspectoratului Energetic de Stat</w:t>
            </w:r>
            <w:r w:rsidR="00C3606B">
              <w:t xml:space="preserve"> (în continuare – IES)</w:t>
            </w:r>
            <w:r w:rsidR="00C3606B" w:rsidRPr="00DD7242">
              <w:t xml:space="preserve"> nr. 81</w:t>
            </w:r>
            <w:r w:rsidR="00C3606B" w:rsidRPr="00DD7242">
              <w:rPr>
                <w:vertAlign w:val="superscript"/>
              </w:rPr>
              <w:t>a</w:t>
            </w:r>
            <w:r w:rsidR="00C3606B" w:rsidRPr="00DD7242">
              <w:t xml:space="preserve"> din 26.12.2017</w:t>
            </w:r>
            <w:r w:rsidR="00C3606B">
              <w:t xml:space="preserve">. Menționăm faptul că activitatea IES a fost preluată de către Agenția Națională pentru Reglementare în Energetică (în continuare – Agenția), conform Legii 174/2017 </w:t>
            </w:r>
            <w:r>
              <w:t>cu privire la energetică (în continuare – Legea cu privire la energetică), art. 32.</w:t>
            </w:r>
            <w:r w:rsidR="00C3606B">
              <w:t xml:space="preserve"> </w:t>
            </w:r>
          </w:p>
          <w:p w14:paraId="4A0C8341" w14:textId="68F50A45" w:rsidR="00DC7055" w:rsidRDefault="00DC7055" w:rsidP="00166211">
            <w:pPr>
              <w:tabs>
                <w:tab w:val="left" w:pos="0"/>
                <w:tab w:val="left" w:pos="360"/>
                <w:tab w:val="left" w:pos="1309"/>
                <w:tab w:val="left" w:pos="9355"/>
              </w:tabs>
              <w:ind w:firstLine="587"/>
              <w:jc w:val="both"/>
              <w:rPr>
                <w:shd w:val="clear" w:color="auto" w:fill="FFFFFF"/>
              </w:rPr>
            </w:pPr>
            <w:r>
              <w:t xml:space="preserve">În același timp, informația prezentată și în baza căreia se emite actul de corespundere, nu este una suficientă și deseori se prezintă în mod neuniform de către solicitanții actelor de corespundere, astfel încât </w:t>
            </w:r>
            <w:r w:rsidR="002F1EEB">
              <w:t>este destul de anevoioasă în unele cazuri emiterea unui act de corespundere care să confirme</w:t>
            </w:r>
            <w:r w:rsidR="009F4D97" w:rsidRPr="008710D5">
              <w:rPr>
                <w:shd w:val="clear" w:color="auto" w:fill="FFFFFF"/>
              </w:rPr>
              <w:t xml:space="preserve"> corespunderea instalației electrice executate sau a centralei electrice construite avizului de racordare, documentaţiei de proiect, cerinţelor de securitate</w:t>
            </w:r>
            <w:r w:rsidR="009F4D97">
              <w:rPr>
                <w:shd w:val="clear" w:color="auto" w:fill="FFFFFF"/>
              </w:rPr>
              <w:t xml:space="preserve">. Acest fapt în sine duce la apariția instalațiilor periculoase pentru utilizare. </w:t>
            </w:r>
          </w:p>
          <w:p w14:paraId="4427FE32" w14:textId="21C795AE" w:rsidR="003A34A3" w:rsidRPr="00937242" w:rsidRDefault="003A34A3" w:rsidP="00166211">
            <w:pPr>
              <w:tabs>
                <w:tab w:val="left" w:pos="0"/>
                <w:tab w:val="left" w:pos="360"/>
                <w:tab w:val="left" w:pos="1309"/>
                <w:tab w:val="left" w:pos="9355"/>
              </w:tabs>
              <w:ind w:firstLine="587"/>
              <w:jc w:val="both"/>
              <w:rPr>
                <w:lang w:val="en-US"/>
              </w:rPr>
            </w:pPr>
            <w:r>
              <w:t>Probleme</w:t>
            </w:r>
            <w:r w:rsidR="00915C1F">
              <w:t>le</w:t>
            </w:r>
            <w:r>
              <w:t xml:space="preserve"> care urmează a fi soluționate</w:t>
            </w:r>
            <w:r w:rsidR="00915C1F">
              <w:t xml:space="preserve"> sunt</w:t>
            </w:r>
            <w:r>
              <w:t>:</w:t>
            </w:r>
          </w:p>
          <w:p w14:paraId="1CB7C65F" w14:textId="1EEA04FF" w:rsidR="00881614" w:rsidRDefault="00881614" w:rsidP="00166211">
            <w:pPr>
              <w:pStyle w:val="ListParagraph"/>
              <w:numPr>
                <w:ilvl w:val="0"/>
                <w:numId w:val="36"/>
              </w:numPr>
              <w:tabs>
                <w:tab w:val="left" w:pos="870"/>
              </w:tabs>
              <w:ind w:left="870"/>
              <w:jc w:val="both"/>
            </w:pPr>
            <w:r w:rsidRPr="00120DFF">
              <w:t>respectarea cerințelor stabilite în art.</w:t>
            </w:r>
            <w:r w:rsidR="00915C1F">
              <w:t xml:space="preserve"> </w:t>
            </w:r>
            <w:r w:rsidRPr="00120DFF">
              <w:t xml:space="preserve">14 al </w:t>
            </w:r>
            <w:r w:rsidR="00915C1F">
              <w:t>L</w:t>
            </w:r>
            <w:r w:rsidRPr="00120DFF">
              <w:t>egii cu privire la energetică</w:t>
            </w:r>
            <w:r>
              <w:t>,</w:t>
            </w:r>
            <w:r w:rsidRPr="00120DFF">
              <w:t xml:space="preserve"> referitor la îndeplinirea funcțiilor Agenției în calitate de organ al s</w:t>
            </w:r>
            <w:r>
              <w:t>upravegherii energetice de stat;</w:t>
            </w:r>
          </w:p>
          <w:p w14:paraId="00000016" w14:textId="339CA068" w:rsidR="003A34A3" w:rsidRPr="003D35B9" w:rsidRDefault="009F4D97" w:rsidP="00166211">
            <w:pPr>
              <w:pStyle w:val="ListParagraph"/>
              <w:numPr>
                <w:ilvl w:val="0"/>
                <w:numId w:val="36"/>
              </w:numPr>
              <w:ind w:left="870"/>
              <w:jc w:val="both"/>
            </w:pPr>
            <w:r>
              <w:t xml:space="preserve">modificarea </w:t>
            </w:r>
            <w:r w:rsidRPr="00DD7242">
              <w:t>„Regulam</w:t>
            </w:r>
            <w:r>
              <w:t xml:space="preserve">entul privind modul de admitere </w:t>
            </w:r>
            <w:r w:rsidRPr="00DD7242">
              <w:t>în exploatare a instalațiilor energetice”</w:t>
            </w:r>
            <w:r w:rsidR="006A1BD3" w:rsidRPr="00DD7242">
              <w:t xml:space="preserve"> aprobat prin ordinul Inspectoratului Energetic de Stat</w:t>
            </w:r>
            <w:r w:rsidR="006A1BD3">
              <w:t xml:space="preserve"> (în continuare – IES)</w:t>
            </w:r>
            <w:r w:rsidR="006A1BD3" w:rsidRPr="00DD7242">
              <w:t xml:space="preserve"> nr. 81</w:t>
            </w:r>
            <w:r w:rsidR="006A1BD3" w:rsidRPr="00DD7242">
              <w:rPr>
                <w:vertAlign w:val="superscript"/>
              </w:rPr>
              <w:t>a</w:t>
            </w:r>
            <w:r w:rsidR="006A1BD3" w:rsidRPr="00DD7242">
              <w:t xml:space="preserve"> din 26.12.2017</w:t>
            </w:r>
            <w:r w:rsidR="0001178A">
              <w:t>.</w:t>
            </w:r>
          </w:p>
        </w:tc>
      </w:tr>
      <w:tr w:rsidR="00FB609F" w:rsidRPr="003D35B9" w14:paraId="37338366"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17" w14:textId="3B34356C" w:rsidR="00FB609F" w:rsidRPr="003D35B9" w:rsidRDefault="00F62480" w:rsidP="0039651F">
            <w:pPr>
              <w:jc w:val="both"/>
            </w:pPr>
            <w:r w:rsidRPr="003D35B9">
              <w:rPr>
                <w:b/>
                <w:i/>
              </w:rPr>
              <w:t>b) Descrieți problema, persoanele/entitățile afectate și cele care contribuie la apariția    problemei, cu justificarea necesității schimbării situației curente şi viitoare, în baza dovezilor şi datelor colectate și examinate</w:t>
            </w:r>
            <w:r w:rsidR="000C6E3E" w:rsidRPr="003D35B9">
              <w:rPr>
                <w:b/>
                <w:i/>
              </w:rPr>
              <w:t xml:space="preserve"> </w:t>
            </w:r>
          </w:p>
        </w:tc>
      </w:tr>
      <w:tr w:rsidR="00FB609F" w:rsidRPr="003D35B9" w14:paraId="4E44BB8B"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71981EDF" w14:textId="58CFE4C1" w:rsidR="0082264C" w:rsidRDefault="0082264C" w:rsidP="00166211">
            <w:pPr>
              <w:tabs>
                <w:tab w:val="left" w:pos="0"/>
                <w:tab w:val="left" w:pos="360"/>
                <w:tab w:val="left" w:pos="1309"/>
                <w:tab w:val="left" w:pos="9355"/>
              </w:tabs>
              <w:ind w:firstLine="587"/>
              <w:jc w:val="both"/>
            </w:pPr>
            <w:r>
              <w:t xml:space="preserve">Reiterăm faptul că activitatea IES a fost preluată de către Agenția Națională pentru Reglementare în Energetică (în continuare – Agenția), conform Legii cu privire la energetică, art. 32, Agenției revenind astfel domeniul supravegherii energetice de stat. </w:t>
            </w:r>
          </w:p>
          <w:p w14:paraId="0EC5FCF3" w14:textId="643D445D" w:rsidR="00E15410" w:rsidRDefault="006D69C2" w:rsidP="00166211">
            <w:pPr>
              <w:ind w:firstLine="587"/>
              <w:jc w:val="both"/>
              <w:rPr>
                <w:shd w:val="clear" w:color="auto" w:fill="FFFFFF"/>
              </w:rPr>
            </w:pPr>
            <w:r w:rsidRPr="008710D5">
              <w:lastRenderedPageBreak/>
              <w:t xml:space="preserve">Conform </w:t>
            </w:r>
            <w:r>
              <w:t>Legii</w:t>
            </w:r>
            <w:r w:rsidRPr="00120DFF">
              <w:t xml:space="preserve"> nr. 107/2016 cu privire la energia electrică (în continuare - Legea cu privire la energia electrică)</w:t>
            </w:r>
            <w:r w:rsidRPr="008710D5">
              <w:t xml:space="preserve">, art. 2, actul de corespundere este un act permisiv, emis </w:t>
            </w:r>
            <w:r w:rsidRPr="008710D5">
              <w:rPr>
                <w:shd w:val="clear" w:color="auto" w:fill="FFFFFF"/>
              </w:rPr>
              <w:t>de către organul supravegherii energetice de stat în urma examinării unei instalații electrice noi sau existente ori a unei centrale electrice noi sau existente, ce confirmă, fără a se limita, corespunderea instalației electrice executate sau a centralei electrice construite avizului de racordare, documentaţiei de proiect, cerinţelor de securitate</w:t>
            </w:r>
            <w:r>
              <w:rPr>
                <w:shd w:val="clear" w:color="auto" w:fill="FFFFFF"/>
              </w:rPr>
              <w:t xml:space="preserve">. </w:t>
            </w:r>
          </w:p>
          <w:p w14:paraId="00000027" w14:textId="53BD2512" w:rsidR="00627409" w:rsidRPr="003D35B9" w:rsidRDefault="00CD1EE8" w:rsidP="00FF0356">
            <w:pPr>
              <w:ind w:firstLine="587"/>
              <w:jc w:val="both"/>
            </w:pPr>
            <w:r w:rsidRPr="00120DFF">
              <w:t>Legea cu privire la energia electrică</w:t>
            </w:r>
            <w:r>
              <w:t>, art. 48, alineatele (7) – (9), art. 50, alin. (4)</w:t>
            </w:r>
            <w:r w:rsidR="00582259">
              <w:t>, p</w:t>
            </w:r>
            <w:r w:rsidRPr="00120DFF">
              <w:t>ct. 158 din Regulamentul privind racordarea la reţelele electrice şi prestarea serviciilor de transport şi de distribuţie a energiei electrice</w:t>
            </w:r>
            <w:r>
              <w:t>,</w:t>
            </w:r>
            <w:r w:rsidRPr="00120DFF">
              <w:t xml:space="preserve"> </w:t>
            </w:r>
            <w:r w:rsidR="00582259">
              <w:t xml:space="preserve">specifică și alte cazuri când este necesară emiterea actului de corespundere. Spre exemplu, actul de corespundere este necesar la racordarea consumatorilor finali, </w:t>
            </w:r>
            <w:r w:rsidR="00582259" w:rsidRPr="00120DFF">
              <w:t>transmi</w:t>
            </w:r>
            <w:r w:rsidR="00582259">
              <w:t>terea instalațiilor electrice</w:t>
            </w:r>
            <w:r w:rsidR="00582259" w:rsidRPr="00120DFF">
              <w:t xml:space="preserve"> în proprietatea operatorului de sistem</w:t>
            </w:r>
            <w:r w:rsidR="00321D49">
              <w:t xml:space="preserve">. </w:t>
            </w:r>
          </w:p>
        </w:tc>
      </w:tr>
      <w:tr w:rsidR="00627409" w:rsidRPr="003D35B9" w14:paraId="4041530D" w14:textId="77777777" w:rsidTr="00627409">
        <w:trPr>
          <w:trHeight w:val="319"/>
        </w:trPr>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2C1517DD" w14:textId="704CAD36" w:rsidR="00627409" w:rsidRPr="003D35B9" w:rsidRDefault="00627409" w:rsidP="00627409">
            <w:pPr>
              <w:spacing w:line="256" w:lineRule="auto"/>
              <w:ind w:firstLine="23"/>
              <w:rPr>
                <w:b/>
              </w:rPr>
            </w:pPr>
            <w:r w:rsidRPr="003D35B9">
              <w:rPr>
                <w:b/>
              </w:rPr>
              <w:lastRenderedPageBreak/>
              <w:t>c) Cauzele care au dus la apariția problemei.</w:t>
            </w:r>
          </w:p>
        </w:tc>
      </w:tr>
      <w:tr w:rsidR="00471C9D" w:rsidRPr="003D35B9" w14:paraId="3DDB9505" w14:textId="77777777" w:rsidTr="007C5365">
        <w:trPr>
          <w:trHeight w:val="903"/>
        </w:trPr>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E61B7FE" w14:textId="6D1B0342" w:rsidR="00D1199B" w:rsidRDefault="006403A2" w:rsidP="00166211">
            <w:pPr>
              <w:ind w:firstLine="587"/>
              <w:jc w:val="both"/>
            </w:pPr>
            <w:r>
              <w:t xml:space="preserve">Conform </w:t>
            </w:r>
            <w:r w:rsidRPr="00DD7242">
              <w:t>„Regulam</w:t>
            </w:r>
            <w:r>
              <w:t xml:space="preserve">entul privind modul de admitere </w:t>
            </w:r>
            <w:r w:rsidRPr="00DD7242">
              <w:t>în exploatare a instalațiilor energetice” aprobat prin ordinul Inspectoratului Energetic de Stat</w:t>
            </w:r>
            <w:r>
              <w:t xml:space="preserve"> (în continuare – IES)</w:t>
            </w:r>
            <w:r w:rsidRPr="00DD7242">
              <w:t xml:space="preserve"> nr. 81</w:t>
            </w:r>
            <w:r w:rsidRPr="00DD7242">
              <w:rPr>
                <w:vertAlign w:val="superscript"/>
              </w:rPr>
              <w:t>a</w:t>
            </w:r>
            <w:r w:rsidRPr="00DD7242">
              <w:t xml:space="preserve"> din 26.12.2017</w:t>
            </w:r>
            <w:r>
              <w:t xml:space="preserve">, </w:t>
            </w:r>
          </w:p>
          <w:p w14:paraId="00000028" w14:textId="601A4E99" w:rsidR="00601392" w:rsidRPr="003D35B9" w:rsidRDefault="00601392" w:rsidP="00A50EEA">
            <w:pPr>
              <w:jc w:val="both"/>
            </w:pPr>
            <w:r>
              <w:t xml:space="preserve">informația care se depune împreună cu cererea solicitantului privind obținerea actului de corespundere, este una minimă și în unele cazuri insuficientă. De asemenea, forma în care se prezintă aceasta deseori lasă loc pentru diverse interpretări. </w:t>
            </w:r>
          </w:p>
        </w:tc>
      </w:tr>
      <w:tr w:rsidR="00FB609F" w:rsidRPr="003D35B9" w14:paraId="4B0DA989"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2E" w14:textId="77777777" w:rsidR="00FB609F" w:rsidRPr="003D35B9" w:rsidRDefault="00F62480">
            <w:r w:rsidRPr="003D35B9">
              <w:rPr>
                <w:b/>
                <w:i/>
              </w:rPr>
              <w:t>d) Descrieți cum a evoluat problema şi cum va evolua fără o intervenție</w:t>
            </w:r>
          </w:p>
        </w:tc>
      </w:tr>
      <w:tr w:rsidR="00FB609F" w:rsidRPr="003D35B9" w14:paraId="3CD1AC69"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2D18E5BE" w14:textId="22A99FBB" w:rsidR="008B2AB0" w:rsidRPr="00D45225" w:rsidRDefault="008B2AB0" w:rsidP="00D45225">
            <w:pPr>
              <w:tabs>
                <w:tab w:val="left" w:pos="1428"/>
                <w:tab w:val="left" w:pos="1690"/>
                <w:tab w:val="left" w:pos="1911"/>
              </w:tabs>
              <w:ind w:firstLine="587"/>
              <w:jc w:val="both"/>
              <w:rPr>
                <w:lang w:val="en-US"/>
              </w:rPr>
            </w:pPr>
            <w:r w:rsidRPr="002F3C48">
              <w:t>După cum a fost menționat, actul de corespundere se eliberează în baza Regulamentului elaborat și aprobat de către IES. Conform pct. 1.12 al acelui Regulament, la etapa finală de admitere în exploatare, se emite actul de corespundere a instalației energetice cu menționarea după caz, a neajunsurilor depistate și respectiv ado</w:t>
            </w:r>
            <w:r w:rsidR="00312286">
              <w:t>ptarea deciziei de corespundere</w:t>
            </w:r>
            <w:r w:rsidRPr="002F3C48">
              <w:t xml:space="preserve"> a instalației energetice.</w:t>
            </w:r>
            <w:r w:rsidR="00441B38" w:rsidRPr="002F3C48">
              <w:t xml:space="preserve"> </w:t>
            </w:r>
          </w:p>
          <w:p w14:paraId="3EE6DA3C" w14:textId="03BF40DE" w:rsidR="00B957D2" w:rsidRPr="002F3C48" w:rsidRDefault="00B957D2" w:rsidP="00D45225">
            <w:pPr>
              <w:tabs>
                <w:tab w:val="left" w:pos="1428"/>
                <w:tab w:val="left" w:pos="1690"/>
                <w:tab w:val="left" w:pos="1911"/>
              </w:tabs>
              <w:ind w:firstLine="587"/>
              <w:jc w:val="both"/>
            </w:pPr>
            <w:r w:rsidRPr="002F3C48">
              <w:t>În paralel, în condiții</w:t>
            </w:r>
            <w:r w:rsidR="006818C7" w:rsidRPr="002F3C48">
              <w:t>le în care sunt admise neajunsuri</w:t>
            </w:r>
            <w:r w:rsidRPr="002F3C48">
              <w:t xml:space="preserve">, executanții lucrărilor de amenajare a instalațiilor electrice, deseori </w:t>
            </w:r>
            <w:r w:rsidR="006818C7" w:rsidRPr="002F3C48">
              <w:t>execută lucrări</w:t>
            </w:r>
            <w:r w:rsidRPr="002F3C48">
              <w:t xml:space="preserve"> </w:t>
            </w:r>
            <w:r w:rsidR="005B2343">
              <w:t>cu un nivel scăzut de calitate</w:t>
            </w:r>
            <w:r w:rsidR="006818C7" w:rsidRPr="002F3C48">
              <w:t xml:space="preserve">, iar acest fapt provoacă apariția și creșterea numărului de instalații electrice periculoase. </w:t>
            </w:r>
          </w:p>
          <w:p w14:paraId="00000032" w14:textId="77AF9EC4" w:rsidR="005240D1" w:rsidRPr="002F3C48" w:rsidRDefault="005240D1" w:rsidP="00D45225">
            <w:pPr>
              <w:tabs>
                <w:tab w:val="left" w:pos="1428"/>
                <w:tab w:val="left" w:pos="1690"/>
                <w:tab w:val="left" w:pos="1911"/>
              </w:tabs>
              <w:ind w:firstLine="587"/>
              <w:jc w:val="both"/>
              <w:rPr>
                <w:lang w:val="en-US"/>
              </w:rPr>
            </w:pPr>
            <w:r w:rsidRPr="002F3C48">
              <w:t>Autorii proiectului consideră că</w:t>
            </w:r>
            <w:r w:rsidR="00312286">
              <w:t>,</w:t>
            </w:r>
            <w:r w:rsidRPr="002F3C48">
              <w:t xml:space="preserve"> fără o intervenție, acest trend va continua și numărul crescător de instalații electrice periculoase, respectiv va cauza creșterea numărului de persoane ce vor fi afectate de acestea.</w:t>
            </w:r>
          </w:p>
        </w:tc>
      </w:tr>
      <w:tr w:rsidR="00FB609F" w:rsidRPr="003D35B9" w14:paraId="52D00937"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33" w14:textId="77777777" w:rsidR="00FB609F" w:rsidRPr="003D35B9" w:rsidRDefault="00F62480">
            <w:r w:rsidRPr="003D35B9">
              <w:rPr>
                <w:b/>
                <w:i/>
              </w:rPr>
              <w:t>e) Descrieți cadrul juridic actual aplicabil raporturilor analizate şi identificați carențele prevederilor normative în vigoare, identificați documentele de politici şi reglementările existente care condiționează intervenția statului</w:t>
            </w:r>
          </w:p>
        </w:tc>
      </w:tr>
      <w:tr w:rsidR="00FB609F" w:rsidRPr="003D35B9" w14:paraId="11FE715A"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23A0167D" w14:textId="4F692946" w:rsidR="0093639C" w:rsidRDefault="0093639C" w:rsidP="00166211">
            <w:pPr>
              <w:tabs>
                <w:tab w:val="left" w:pos="0"/>
                <w:tab w:val="left" w:pos="352"/>
                <w:tab w:val="left" w:pos="1309"/>
                <w:tab w:val="left" w:pos="9355"/>
              </w:tabs>
              <w:ind w:firstLine="587"/>
              <w:jc w:val="both"/>
            </w:pPr>
            <w:r w:rsidRPr="00120DFF">
              <w:t xml:space="preserve">Elaborarea și aprobarea Regulamentului privind </w:t>
            </w:r>
            <w:r w:rsidR="00ED71E8">
              <w:t>admiterea în exploatare a instalațiilor electrice</w:t>
            </w:r>
            <w:r w:rsidRPr="00120DFF">
              <w:t xml:space="preserve"> este condiționată de art.</w:t>
            </w:r>
            <w:r w:rsidR="00EE5BD4">
              <w:t xml:space="preserve"> </w:t>
            </w:r>
            <w:r w:rsidRPr="00120DFF">
              <w:t>14 alin.</w:t>
            </w:r>
            <w:r w:rsidR="00EE5BD4">
              <w:t xml:space="preserve"> </w:t>
            </w:r>
            <w:r w:rsidRPr="00120DFF">
              <w:t>(1), lit. a) din  Legea cu privire la energetică, în corespundere cu care Agenția elaborează și aprobă documentele</w:t>
            </w:r>
            <w:r>
              <w:t xml:space="preserve">  </w:t>
            </w:r>
            <w:r w:rsidRPr="00120DFF">
              <w:t>normativ-tehnice care reglementează modul de amenajare și de exploatare a centralelor electrice, a rețelelor electrice și a instalațiilor electrice ale consumatorilor finali.</w:t>
            </w:r>
          </w:p>
          <w:p w14:paraId="0C31AD2F" w14:textId="21B9503A" w:rsidR="00876323" w:rsidRDefault="00876323" w:rsidP="00166211">
            <w:pPr>
              <w:tabs>
                <w:tab w:val="left" w:pos="0"/>
                <w:tab w:val="left" w:pos="352"/>
                <w:tab w:val="left" w:pos="1309"/>
                <w:tab w:val="left" w:pos="9355"/>
              </w:tabs>
              <w:ind w:firstLine="587"/>
              <w:jc w:val="both"/>
            </w:pPr>
            <w:r w:rsidRPr="00633A05">
              <w:t>Potrivit art. 2 din Legea cu privire la energia</w:t>
            </w:r>
            <w:r w:rsidR="00EE5BD4">
              <w:t xml:space="preserve"> electrică</w:t>
            </w:r>
            <w:r w:rsidRPr="00633A05">
              <w:t xml:space="preserve">, actul de corespundere este un </w:t>
            </w:r>
            <w:r w:rsidRPr="00633A05">
              <w:rPr>
                <w:shd w:val="clear" w:color="auto" w:fill="FFFFFF"/>
              </w:rPr>
              <w:t>act permisiv, emis de către organul supravegherii energetice de stat în urma examinării unei instalații electrice noi sau existente ori a unei centrale electrice noi sau existente, ce confirmă, fără a se limita, corespunderea instalației electrice executate sau a centralei electrice construite avizului de racordare, documentaţiei de proiect, cerinţelor de securitate</w:t>
            </w:r>
            <w:r>
              <w:rPr>
                <w:shd w:val="clear" w:color="auto" w:fill="FFFFFF"/>
              </w:rPr>
              <w:t>.</w:t>
            </w:r>
          </w:p>
          <w:p w14:paraId="572712C6" w14:textId="65D40377" w:rsidR="0093639C" w:rsidRPr="00120DFF" w:rsidRDefault="0093639C" w:rsidP="00166211">
            <w:pPr>
              <w:tabs>
                <w:tab w:val="left" w:pos="0"/>
                <w:tab w:val="left" w:pos="352"/>
                <w:tab w:val="left" w:pos="1309"/>
                <w:tab w:val="left" w:pos="9355"/>
              </w:tabs>
              <w:ind w:firstLine="587"/>
              <w:jc w:val="both"/>
            </w:pPr>
            <w:r w:rsidRPr="00120DFF">
              <w:t>În același context, potrivit art. 48 din Legea cu privire la energia electrică</w:t>
            </w:r>
            <w:r w:rsidR="00E311E4">
              <w:t>, se</w:t>
            </w:r>
            <w:r w:rsidRPr="00120DFF">
              <w:t xml:space="preserve"> </w:t>
            </w:r>
            <w:r w:rsidR="002358DE">
              <w:t>specifică următoarele</w:t>
            </w:r>
            <w:r w:rsidRPr="00120DFF">
              <w:t>:</w:t>
            </w:r>
          </w:p>
          <w:p w14:paraId="1108261A" w14:textId="77777777" w:rsidR="0093639C" w:rsidRPr="00120DFF" w:rsidRDefault="0093639C" w:rsidP="00166211">
            <w:pPr>
              <w:pStyle w:val="ListParagraph"/>
              <w:numPr>
                <w:ilvl w:val="0"/>
                <w:numId w:val="35"/>
              </w:numPr>
              <w:shd w:val="clear" w:color="auto" w:fill="FFFFFF" w:themeFill="background1"/>
              <w:tabs>
                <w:tab w:val="left" w:pos="1012"/>
              </w:tabs>
              <w:ind w:left="1012"/>
              <w:jc w:val="both"/>
            </w:pPr>
            <w:r w:rsidRPr="00120DFF">
              <w:t xml:space="preserve">alin. (7): În cazul racordării locului de consum cu o putere contractată de cel mult 150 kW la reţeaua electrică de distribuţie de tensiune joasă şi medie, admiterea în exploatare a instalaţiei electrice se confirmă prin declaraţia electricianului autorizat, cu excepţia </w:t>
            </w:r>
            <w:r w:rsidRPr="00120DFF">
              <w:lastRenderedPageBreak/>
              <w:t xml:space="preserve">grădinițelor, școlilor, spitalelor, azilurilor de bătrâni şi a orfelinatelor, cazuri în care admiterea în exploatare se face de către organul supravegherii energetice de stat; </w:t>
            </w:r>
          </w:p>
          <w:p w14:paraId="00AA63B4" w14:textId="77777777" w:rsidR="0093639C" w:rsidRPr="00120DFF" w:rsidRDefault="0093639C" w:rsidP="00166211">
            <w:pPr>
              <w:pStyle w:val="ListParagraph"/>
              <w:numPr>
                <w:ilvl w:val="0"/>
                <w:numId w:val="35"/>
              </w:numPr>
              <w:shd w:val="clear" w:color="auto" w:fill="FFFFFF" w:themeFill="background1"/>
              <w:ind w:left="1012"/>
              <w:jc w:val="both"/>
            </w:pPr>
            <w:r w:rsidRPr="00120DFF">
              <w:t>alin. (8): În cazul racordării unei centrale electrice la rețeaua electrică, admiterea în exploatare a centralei electrice şi a instalaţiei de racordare se confirmă prin actul de corespundere, eliberat de organul supravegherii energetice de stat;</w:t>
            </w:r>
          </w:p>
          <w:p w14:paraId="3AD3F149" w14:textId="0605CC8F" w:rsidR="00C83246" w:rsidRDefault="008827DD" w:rsidP="00166211">
            <w:pPr>
              <w:pStyle w:val="ListParagraph"/>
              <w:numPr>
                <w:ilvl w:val="0"/>
                <w:numId w:val="35"/>
              </w:numPr>
              <w:ind w:left="1012"/>
              <w:jc w:val="both"/>
            </w:pPr>
            <w:r>
              <w:t>alin</w:t>
            </w:r>
            <w:r w:rsidR="0093639C" w:rsidRPr="00120DFF">
              <w:t>. (9): Persoanele fizice şi persoanele juridice, indiferent de tipul de proprietate şi forma juridică de organizare, care au în proprietate instalaţii electrice, linii electrice şi posturi de transformare sunt în drept să le transmită, cu titlu gratuit, în proprietatea operatorului de sistem. Operatorul sistemului de distribuţie este obligat să primească instalațiile electrice transmise cu titlu gratuit cu condiția efectuării de către proprietarul instalaţiilor electrice, liniilor electrice şi posturilor de transformare</w:t>
            </w:r>
            <w:r w:rsidR="0093639C">
              <w:t>,</w:t>
            </w:r>
            <w:r w:rsidR="0093639C" w:rsidRPr="00120DFF">
              <w:t xml:space="preserve"> a lucrărilor necesare pentru a asigura corespunderea acestora cerinţel</w:t>
            </w:r>
            <w:r w:rsidR="0093639C">
              <w:t>or</w:t>
            </w:r>
            <w:r w:rsidR="0093639C" w:rsidRPr="00120DFF">
              <w:t xml:space="preserve"> de securitate. Corespunderea reţelelor electrice ce urmează a fi transmise în proprietatea operatorului de sistem</w:t>
            </w:r>
            <w:r w:rsidR="0093639C">
              <w:t>,</w:t>
            </w:r>
            <w:r w:rsidR="0093639C" w:rsidRPr="00120DFF">
              <w:t xml:space="preserve"> se atestă în baza actului de corespundere, eliberat proprietarului instalaţiilor electrice, liniilor electrice sau posturilor de transformare</w:t>
            </w:r>
            <w:r w:rsidR="0093639C">
              <w:t>,</w:t>
            </w:r>
            <w:r w:rsidR="0093639C" w:rsidRPr="00120DFF">
              <w:t xml:space="preserve"> de către organul supravegherii energetice de stat.</w:t>
            </w:r>
          </w:p>
          <w:p w14:paraId="7CAD6028" w14:textId="77777777" w:rsidR="0093639C" w:rsidRPr="00120DFF" w:rsidRDefault="0093639C" w:rsidP="00166211">
            <w:pPr>
              <w:shd w:val="clear" w:color="auto" w:fill="FFFFFF" w:themeFill="background1"/>
              <w:tabs>
                <w:tab w:val="left" w:pos="785"/>
              </w:tabs>
              <w:ind w:firstLine="587"/>
              <w:jc w:val="both"/>
            </w:pPr>
            <w:r>
              <w:t>Conform a</w:t>
            </w:r>
            <w:r w:rsidRPr="00120DFF">
              <w:t>rt. 50, alin. (4)</w:t>
            </w:r>
            <w:r>
              <w:t xml:space="preserve"> din Legea cu privire la energia electrică,</w:t>
            </w:r>
            <w:r w:rsidRPr="00120DFF">
              <w:t xml:space="preserve"> </w:t>
            </w:r>
            <w:r>
              <w:t>î</w:t>
            </w:r>
            <w:r w:rsidRPr="00120DFF">
              <w:t>n vederea obținerii autorizaţiei pentru sistemul de distribuţie închis, solicitantul</w:t>
            </w:r>
            <w:r>
              <w:t>,</w:t>
            </w:r>
            <w:r w:rsidRPr="00120DFF">
              <w:t xml:space="preserve"> persoană juridică</w:t>
            </w:r>
            <w:r>
              <w:t>,</w:t>
            </w:r>
            <w:r w:rsidRPr="00120DFF">
              <w:t xml:space="preserve"> este obligat să prezinte Agenției copia de pe decizia de înregistrare a întreprinderii, schema electrică a instalaţiilor electrice din sistemul de distribuţie închis, actul de corespundere emis de organul supravegherii energetice de stat care confirmă corespunderea sistemului de distribuţie închis cu cerinţele de securitate, precum şi informații cu privire la utilizatorii sistemului de distribuţie închis.</w:t>
            </w:r>
          </w:p>
          <w:p w14:paraId="00000035" w14:textId="5F22AE62" w:rsidR="0093639C" w:rsidRPr="003D35B9" w:rsidRDefault="0093639C" w:rsidP="00166211">
            <w:pPr>
              <w:shd w:val="clear" w:color="auto" w:fill="FFFFFF" w:themeFill="background1"/>
              <w:tabs>
                <w:tab w:val="left" w:pos="785"/>
              </w:tabs>
              <w:ind w:firstLine="587"/>
              <w:contextualSpacing/>
              <w:jc w:val="both"/>
            </w:pPr>
            <w:r w:rsidRPr="00120DFF">
              <w:t>Conform pct. 158 din Regulamentul privind racordarea la reţelele electrice şi prestarea serviciilor de transport şi de distribuţie a energiei electrice</w:t>
            </w:r>
            <w:r>
              <w:t>,</w:t>
            </w:r>
            <w:r w:rsidRPr="00120DFF">
              <w:t xml:space="preserve"> aprobat prin Hotărârea ANRE nr.168/2019, în cazurile când din momentul deconectării instalaţiilor electrice până la înlăturarea cauzelor deconectării a trecut mai mult de un an calendaristic, înainte de a solicita la furnizor reconectarea instalaţiei, utilizatorul de sistem este obligat să obțină de la organul supravegherii energetici de stat actul de corespundere sau declaraţia electricianului autorizat, care confirmă corespunderea instalaţiei electrice cerinţelor de securitate. Actul de corespundere sau declaraţia electricianului autorizat se prezintă furnizorului odată cu cererea pentru reconectare a instalaţiei electrice.</w:t>
            </w:r>
          </w:p>
        </w:tc>
      </w:tr>
      <w:tr w:rsidR="00FB609F" w:rsidRPr="003D35B9" w14:paraId="694F5286"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36" w14:textId="77777777" w:rsidR="00FB609F" w:rsidRPr="003D35B9" w:rsidRDefault="00F62480">
            <w:r w:rsidRPr="003D35B9">
              <w:rPr>
                <w:b/>
              </w:rPr>
              <w:lastRenderedPageBreak/>
              <w:t>2. Stabilirea obiectivelor</w:t>
            </w:r>
          </w:p>
        </w:tc>
      </w:tr>
      <w:tr w:rsidR="00FB609F" w:rsidRPr="003D35B9" w14:paraId="231DCDCD" w14:textId="77777777" w:rsidTr="007920FA">
        <w:trPr>
          <w:trHeight w:val="760"/>
        </w:trPr>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37" w14:textId="77777777" w:rsidR="00FB609F" w:rsidRPr="003D35B9" w:rsidRDefault="00F62480">
            <w:r w:rsidRPr="003D35B9">
              <w:rPr>
                <w:b/>
                <w:i/>
              </w:rPr>
              <w:t>a) Expuneți obiectivele (care trebuie să fie legate direct de problemă și cauzele acesteia, formulate cuantificat, măsurabil, fixat în timp și realist)</w:t>
            </w:r>
          </w:p>
        </w:tc>
      </w:tr>
      <w:tr w:rsidR="00FB609F" w:rsidRPr="003D35B9" w14:paraId="66646313"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5096466" w14:textId="2A7B104C" w:rsidR="00A43808" w:rsidRDefault="00A43808" w:rsidP="00166211">
            <w:pPr>
              <w:tabs>
                <w:tab w:val="left" w:pos="385"/>
              </w:tabs>
              <w:ind w:firstLine="587"/>
              <w:jc w:val="both"/>
              <w:rPr>
                <w:iCs/>
              </w:rPr>
            </w:pPr>
            <w:r>
              <w:rPr>
                <w:iCs/>
              </w:rPr>
              <w:t>Următoarele obiective se doresc a fi atinse în urma intervenției de reglementare:</w:t>
            </w:r>
          </w:p>
          <w:p w14:paraId="04B3C90E" w14:textId="77777777" w:rsidR="00567D9E" w:rsidRDefault="00567D9E" w:rsidP="00166211">
            <w:pPr>
              <w:pStyle w:val="ListParagraph"/>
              <w:numPr>
                <w:ilvl w:val="0"/>
                <w:numId w:val="40"/>
              </w:numPr>
              <w:tabs>
                <w:tab w:val="left" w:pos="884"/>
                <w:tab w:val="left" w:pos="1016"/>
              </w:tabs>
              <w:ind w:left="870"/>
              <w:jc w:val="both"/>
            </w:pPr>
            <w:r w:rsidRPr="00120DFF">
              <w:t>respectarea cerințelor stabilite în art.</w:t>
            </w:r>
            <w:r>
              <w:t xml:space="preserve"> </w:t>
            </w:r>
            <w:r w:rsidRPr="00120DFF">
              <w:t xml:space="preserve">14 al </w:t>
            </w:r>
            <w:r>
              <w:t>L</w:t>
            </w:r>
            <w:r w:rsidRPr="00120DFF">
              <w:t>egii cu privire la energetică</w:t>
            </w:r>
            <w:r>
              <w:t>,</w:t>
            </w:r>
            <w:r w:rsidRPr="00120DFF">
              <w:t xml:space="preserve"> referitor la îndeplinirea funcțiilor Agenției în calitate de organ al s</w:t>
            </w:r>
            <w:r>
              <w:t>upravegherii energetice de stat;</w:t>
            </w:r>
          </w:p>
          <w:p w14:paraId="00000042" w14:textId="6113A4AB" w:rsidR="00B50A90" w:rsidRPr="00ED71E8" w:rsidRDefault="00567D9E" w:rsidP="00166211">
            <w:pPr>
              <w:pStyle w:val="ListParagraph"/>
              <w:numPr>
                <w:ilvl w:val="0"/>
                <w:numId w:val="40"/>
              </w:numPr>
              <w:tabs>
                <w:tab w:val="left" w:pos="385"/>
              </w:tabs>
              <w:ind w:left="870"/>
              <w:jc w:val="both"/>
              <w:rPr>
                <w:iCs/>
              </w:rPr>
            </w:pPr>
            <w:r>
              <w:t xml:space="preserve">modificarea </w:t>
            </w:r>
            <w:r w:rsidRPr="00DD7242">
              <w:t>„Regulam</w:t>
            </w:r>
            <w:r>
              <w:t xml:space="preserve">entul privind modul de admitere </w:t>
            </w:r>
            <w:r w:rsidRPr="00DD7242">
              <w:t>în exploatare a instalațiilor energetice” aprobat prin ordinul Inspectoratului Energetic de Stat</w:t>
            </w:r>
            <w:r>
              <w:t xml:space="preserve"> (în continuare – IES)</w:t>
            </w:r>
            <w:r w:rsidRPr="00DD7242">
              <w:t xml:space="preserve"> nr. 81</w:t>
            </w:r>
            <w:r w:rsidRPr="00567D9E">
              <w:rPr>
                <w:vertAlign w:val="superscript"/>
              </w:rPr>
              <w:t>a</w:t>
            </w:r>
            <w:r w:rsidRPr="00DD7242">
              <w:t xml:space="preserve"> din 26.12.2017</w:t>
            </w:r>
            <w:r w:rsidR="006D4063">
              <w:t>, cu aprobare</w:t>
            </w:r>
            <w:bookmarkStart w:id="0" w:name="_GoBack"/>
            <w:bookmarkEnd w:id="0"/>
            <w:r w:rsidR="006D4063">
              <w:t>a acestuia</w:t>
            </w:r>
            <w:r w:rsidR="00ED71E8">
              <w:t xml:space="preserve"> în redacție nouă, îmbunătățită.</w:t>
            </w:r>
          </w:p>
        </w:tc>
      </w:tr>
      <w:tr w:rsidR="00FB609F" w:rsidRPr="003D35B9" w14:paraId="3439AD90"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43" w14:textId="3D5C0F6A" w:rsidR="00FB609F" w:rsidRPr="003D35B9" w:rsidRDefault="00F62480">
            <w:r w:rsidRPr="003D35B9">
              <w:rPr>
                <w:b/>
              </w:rPr>
              <w:t xml:space="preserve">3. Identificarea </w:t>
            </w:r>
            <w:r w:rsidR="002464CA" w:rsidRPr="003D35B9">
              <w:rPr>
                <w:b/>
              </w:rPr>
              <w:t>opțiunilor</w:t>
            </w:r>
          </w:p>
        </w:tc>
      </w:tr>
      <w:tr w:rsidR="00FB609F" w:rsidRPr="003D35B9" w14:paraId="23C4491A"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44" w14:textId="77777777" w:rsidR="00FB609F" w:rsidRPr="003D35B9" w:rsidRDefault="00F62480">
            <w:r w:rsidRPr="003D35B9">
              <w:rPr>
                <w:b/>
                <w:i/>
              </w:rPr>
              <w:t>a) Expuneți succint opțiunea „a nu face nimic”, care presupune lipsa de intervenție</w:t>
            </w:r>
          </w:p>
        </w:tc>
      </w:tr>
      <w:tr w:rsidR="00FB609F" w:rsidRPr="003D35B9" w14:paraId="4D169C9B"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24DD49B" w14:textId="1CCD0D92" w:rsidR="006C7687" w:rsidRPr="00045B32" w:rsidRDefault="006C7687" w:rsidP="005744A4">
            <w:pPr>
              <w:ind w:left="569"/>
              <w:jc w:val="both"/>
              <w:rPr>
                <w:b/>
                <w:bCs/>
              </w:rPr>
            </w:pPr>
            <w:r w:rsidRPr="00045B32">
              <w:rPr>
                <w:b/>
                <w:bCs/>
              </w:rPr>
              <w:t>A nu face nimic</w:t>
            </w:r>
          </w:p>
          <w:p w14:paraId="00000052" w14:textId="389C82FE" w:rsidR="00243488" w:rsidRPr="00ED71E8" w:rsidRDefault="00045B32" w:rsidP="00ED71E8">
            <w:pPr>
              <w:ind w:firstLine="587"/>
              <w:jc w:val="both"/>
            </w:pPr>
            <w:r w:rsidRPr="00045B32">
              <w:rPr>
                <w:bCs/>
              </w:rPr>
              <w:t>Opțiunea</w:t>
            </w:r>
            <w:r w:rsidR="00CF081A" w:rsidRPr="00045B32">
              <w:rPr>
                <w:bCs/>
              </w:rPr>
              <w:t xml:space="preserve"> constă în a nu întreprinde nici o măsură în vederea elaborării unei noi versiuni a </w:t>
            </w:r>
            <w:r w:rsidRPr="00045B32">
              <w:t>„Regulamentul privind modul de admitere în exploatare a instalațiilor energetice” aprobat prin ordinul Inspectoratului Energetic de Stat (în continuare – IES) nr. 81</w:t>
            </w:r>
            <w:r w:rsidRPr="00045B32">
              <w:rPr>
                <w:vertAlign w:val="superscript"/>
              </w:rPr>
              <w:t>a</w:t>
            </w:r>
            <w:r w:rsidRPr="00045B32">
              <w:t xml:space="preserve"> din 26.12.2017</w:t>
            </w:r>
            <w:r w:rsidR="00CF081A" w:rsidRPr="00045B32">
              <w:rPr>
                <w:bCs/>
              </w:rPr>
              <w:t xml:space="preserve">, astfel încât nu vor fi create premisele necesare pentru implementarea prevederilor Legii </w:t>
            </w:r>
            <w:r w:rsidR="00243488">
              <w:t xml:space="preserve">cu privire la </w:t>
            </w:r>
            <w:r w:rsidR="00243488">
              <w:lastRenderedPageBreak/>
              <w:t>energetică</w:t>
            </w:r>
            <w:r w:rsidR="00E12831" w:rsidRPr="00120DFF">
              <w:t>, în corespundere cu care Agenția elaborează și aprobă documentele</w:t>
            </w:r>
            <w:r w:rsidR="00E12831">
              <w:t xml:space="preserve"> </w:t>
            </w:r>
            <w:r w:rsidR="00E12831" w:rsidRPr="00120DFF">
              <w:t>normativ-tehnice care reglementează modul de amenajare și de exploatare a centralelor electrice, a rețelelor electrice și a instalațiilor electrice ale consumatorilor finali.</w:t>
            </w:r>
          </w:p>
        </w:tc>
      </w:tr>
      <w:tr w:rsidR="00FB609F" w:rsidRPr="003D35B9" w14:paraId="7782C2B1"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53" w14:textId="77777777" w:rsidR="00FB609F" w:rsidRPr="003D35B9" w:rsidRDefault="00F62480">
            <w:r w:rsidRPr="003D35B9">
              <w:rPr>
                <w:b/>
                <w:i/>
              </w:rPr>
              <w:lastRenderedPageBreak/>
              <w:t>b) Expuneți principalele prevederi ale proiectului, cu impact, explicând cum acestea țintesc cauzele problemei, cu indicarea novațiilor și întregului spectru de soluții/drepturi/obligații ce se doresc să fie aprobate</w:t>
            </w:r>
          </w:p>
        </w:tc>
      </w:tr>
      <w:tr w:rsidR="00FB609F" w:rsidRPr="003D35B9" w14:paraId="5681F236"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484309B1" w14:textId="77777777" w:rsidR="006A23CB" w:rsidRPr="006A256C" w:rsidRDefault="006A23CB" w:rsidP="00166211">
            <w:pPr>
              <w:pStyle w:val="ListParagraph"/>
              <w:ind w:left="0" w:firstLine="587"/>
              <w:rPr>
                <w:bCs/>
              </w:rPr>
            </w:pPr>
            <w:r>
              <w:t>În urma</w:t>
            </w:r>
            <w:r w:rsidRPr="0079090E">
              <w:t xml:space="preserve"> </w:t>
            </w:r>
            <w:r>
              <w:t>intervenției de reglementare</w:t>
            </w:r>
            <w:r w:rsidRPr="0079090E">
              <w:t xml:space="preserve"> </w:t>
            </w:r>
            <w:r>
              <w:rPr>
                <w:bCs/>
              </w:rPr>
              <w:t>p</w:t>
            </w:r>
            <w:r w:rsidRPr="006A256C">
              <w:rPr>
                <w:bCs/>
              </w:rPr>
              <w:t>rincipalele beneficii sunt:</w:t>
            </w:r>
          </w:p>
          <w:p w14:paraId="122E9CF3" w14:textId="430CB14B" w:rsidR="00A50367" w:rsidRPr="00136D0C" w:rsidRDefault="006A23CB" w:rsidP="00166211">
            <w:pPr>
              <w:pStyle w:val="ListParagraph"/>
              <w:numPr>
                <w:ilvl w:val="0"/>
                <w:numId w:val="38"/>
              </w:numPr>
              <w:ind w:left="870"/>
              <w:jc w:val="both"/>
            </w:pPr>
            <w:r>
              <w:rPr>
                <w:iCs/>
              </w:rPr>
              <w:t>I</w:t>
            </w:r>
            <w:r w:rsidRPr="006646CF">
              <w:rPr>
                <w:iCs/>
              </w:rPr>
              <w:t xml:space="preserve">mplementarea, în mod corespunzător, a prevederilor Legii cu privire la </w:t>
            </w:r>
            <w:r>
              <w:rPr>
                <w:iCs/>
              </w:rPr>
              <w:t>energetică</w:t>
            </w:r>
            <w:r w:rsidR="000B793E">
              <w:rPr>
                <w:iCs/>
              </w:rPr>
              <w:t>,</w:t>
            </w:r>
            <w:r>
              <w:rPr>
                <w:iCs/>
              </w:rPr>
              <w:t xml:space="preserve"> privind elaborarea și aprobarea documentelor ce reglementează </w:t>
            </w:r>
            <w:r w:rsidRPr="006A23CB">
              <w:rPr>
                <w:iCs/>
              </w:rPr>
              <w:t>modul de amenajare și de exploatare a centralelor electrice, a rețelelor electrice și a instalațiilor elec</w:t>
            </w:r>
            <w:r>
              <w:rPr>
                <w:iCs/>
              </w:rPr>
              <w:t>trice ale consumatorilor finali;</w:t>
            </w:r>
          </w:p>
          <w:p w14:paraId="5C5F6499" w14:textId="51577D0C" w:rsidR="00136D0C" w:rsidRPr="000B793E" w:rsidRDefault="00136D0C" w:rsidP="00166211">
            <w:pPr>
              <w:pStyle w:val="ListParagraph"/>
              <w:numPr>
                <w:ilvl w:val="0"/>
                <w:numId w:val="38"/>
              </w:numPr>
              <w:ind w:left="870"/>
              <w:jc w:val="both"/>
            </w:pPr>
            <w:r>
              <w:rPr>
                <w:iCs/>
              </w:rPr>
              <w:t>I</w:t>
            </w:r>
            <w:r w:rsidRPr="006646CF">
              <w:rPr>
                <w:iCs/>
              </w:rPr>
              <w:t xml:space="preserve">mplementarea, în mod corespunzător, a prevederilor Legii cu privire la </w:t>
            </w:r>
            <w:r>
              <w:rPr>
                <w:iCs/>
              </w:rPr>
              <w:t>energetică privind r</w:t>
            </w:r>
            <w:r w:rsidR="000B793E">
              <w:rPr>
                <w:iCs/>
              </w:rPr>
              <w:t>acordarea la rețelele electrice;</w:t>
            </w:r>
          </w:p>
          <w:p w14:paraId="2465218F" w14:textId="3F2E242B" w:rsidR="000B793E" w:rsidRDefault="006B57D2" w:rsidP="00166211">
            <w:pPr>
              <w:pStyle w:val="ListParagraph"/>
              <w:numPr>
                <w:ilvl w:val="0"/>
                <w:numId w:val="38"/>
              </w:numPr>
              <w:ind w:left="870"/>
              <w:jc w:val="both"/>
            </w:pPr>
            <w:r>
              <w:t>Va fi asigurată transparența și accesul la document, acesta fiind plasat pe pagina web a Agenției;</w:t>
            </w:r>
          </w:p>
          <w:p w14:paraId="33F47BCB" w14:textId="77777777" w:rsidR="006B57D2" w:rsidRDefault="006B57D2" w:rsidP="00166211">
            <w:pPr>
              <w:pStyle w:val="ListParagraph"/>
              <w:numPr>
                <w:ilvl w:val="0"/>
                <w:numId w:val="38"/>
              </w:numPr>
              <w:ind w:left="870"/>
              <w:jc w:val="both"/>
            </w:pPr>
            <w:r>
              <w:t>Descrierea clară a modului de admitere în exploatare cu indicarea exactă a termenului de eliberare a actului de corespundere;</w:t>
            </w:r>
          </w:p>
          <w:p w14:paraId="0000008F" w14:textId="187BC6F7" w:rsidR="00D36358" w:rsidRPr="003D35B9" w:rsidRDefault="001623FA" w:rsidP="001623FA">
            <w:pPr>
              <w:pStyle w:val="ListParagraph"/>
              <w:numPr>
                <w:ilvl w:val="0"/>
                <w:numId w:val="38"/>
              </w:numPr>
              <w:ind w:left="870"/>
              <w:jc w:val="both"/>
            </w:pPr>
            <w:r w:rsidRPr="009A2DD4">
              <w:t xml:space="preserve">Creșterea </w:t>
            </w:r>
            <w:r>
              <w:t xml:space="preserve">nivelului </w:t>
            </w:r>
            <w:r w:rsidRPr="009A2DD4">
              <w:t>calității lucrărilor a in</w:t>
            </w:r>
            <w:r>
              <w:t>stalațiilor electrice executate.</w:t>
            </w:r>
          </w:p>
        </w:tc>
      </w:tr>
      <w:tr w:rsidR="00FB609F" w:rsidRPr="003D35B9" w14:paraId="5235ECC4"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90" w14:textId="77777777" w:rsidR="00FB609F" w:rsidRPr="003D35B9" w:rsidRDefault="00F62480">
            <w:r w:rsidRPr="003D35B9">
              <w:rPr>
                <w:b/>
                <w:i/>
              </w:rPr>
              <w:t>c) Expuneți opțiunile alternative analizate sau explicați motivul de ce acestea nu au fost luate în considerare</w:t>
            </w:r>
          </w:p>
        </w:tc>
      </w:tr>
      <w:tr w:rsidR="00FB609F" w:rsidRPr="003D35B9" w14:paraId="79C8EB4C"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92" w14:textId="6CEE562E" w:rsidR="00FB609F" w:rsidRPr="003D35B9" w:rsidRDefault="00076534" w:rsidP="00166211">
            <w:pPr>
              <w:spacing w:after="160" w:line="256" w:lineRule="auto"/>
              <w:ind w:firstLine="587"/>
              <w:jc w:val="both"/>
            </w:pPr>
            <w:r w:rsidRPr="00311D36">
              <w:t>În urma examinării opțiunilor și altor căi alternative de a asigura respectarea prevederilor legii</w:t>
            </w:r>
            <w:r w:rsidR="00AB1F1F">
              <w:t>,</w:t>
            </w:r>
            <w:r w:rsidRPr="00311D36">
              <w:t xml:space="preserve"> s-a constatat că elaborarea și implementarea unor acte normative alternative</w:t>
            </w:r>
            <w:r>
              <w:t xml:space="preserve"> este un proces mai dificil și de durată mai mare. </w:t>
            </w:r>
          </w:p>
        </w:tc>
      </w:tr>
      <w:tr w:rsidR="00FB609F" w:rsidRPr="003D35B9" w14:paraId="2BF7C97B"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93" w14:textId="6B0B4185" w:rsidR="00FB609F" w:rsidRPr="003D35B9" w:rsidRDefault="00F62480">
            <w:r w:rsidRPr="003D35B9">
              <w:rPr>
                <w:b/>
              </w:rPr>
              <w:t xml:space="preserve">4. Analiza impacturilor </w:t>
            </w:r>
            <w:r w:rsidR="005A68DE" w:rsidRPr="003D35B9">
              <w:rPr>
                <w:b/>
              </w:rPr>
              <w:t>opțiunilor</w:t>
            </w:r>
          </w:p>
        </w:tc>
      </w:tr>
      <w:tr w:rsidR="00FB609F" w:rsidRPr="003D35B9" w14:paraId="5BF94BB9"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94" w14:textId="77777777" w:rsidR="00FB609F" w:rsidRPr="003D35B9" w:rsidRDefault="00F62480">
            <w:r w:rsidRPr="003D35B9">
              <w:rPr>
                <w:b/>
                <w:i/>
              </w:rPr>
              <w:t>a) Expuneți efectele negative şi pozitive ale stării actuale și evoluția acestora în viitor, care vor sta la baza calculării impacturilor opțiunii recomandate</w:t>
            </w:r>
          </w:p>
        </w:tc>
      </w:tr>
      <w:tr w:rsidR="00FB609F" w:rsidRPr="003D35B9" w14:paraId="05DAE276"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9D" w14:textId="67C2E4F0" w:rsidR="00256137" w:rsidRPr="0038330E" w:rsidRDefault="0038330E" w:rsidP="0038330E">
            <w:pPr>
              <w:ind w:firstLine="587"/>
              <w:jc w:val="both"/>
              <w:rPr>
                <w:bCs/>
              </w:rPr>
            </w:pPr>
            <w:r>
              <w:rPr>
                <w:bCs/>
              </w:rPr>
              <w:t>N</w:t>
            </w:r>
            <w:r w:rsidR="007504AE" w:rsidRPr="0038330E">
              <w:rPr>
                <w:bCs/>
              </w:rPr>
              <w:t xml:space="preserve">u va fi asigurată implementarea în mod optim a prevederilor Legii </w:t>
            </w:r>
            <w:r w:rsidRPr="0038330E">
              <w:rPr>
                <w:bCs/>
              </w:rPr>
              <w:t>cu privire la energia electrică.</w:t>
            </w:r>
          </w:p>
        </w:tc>
      </w:tr>
      <w:tr w:rsidR="00FB609F" w:rsidRPr="003D35B9" w14:paraId="392E6BB6"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9E" w14:textId="77777777" w:rsidR="00FB609F" w:rsidRPr="003D35B9" w:rsidRDefault="00F62480">
            <w:r w:rsidRPr="003D35B9">
              <w:rPr>
                <w:b/>
                <w:i/>
              </w:rPr>
              <w:t>b1) Pentru opțiunea recomandată, identificați impacturile completând tabelul din anexa la prezentul formular. Descrieți pe larg impacturile sub formă de costuri sau beneficii, inclusiv părțile interesate care ar putea fi afectate pozitiv și negativ de acestea</w:t>
            </w:r>
          </w:p>
        </w:tc>
      </w:tr>
      <w:tr w:rsidR="00FB609F" w:rsidRPr="003D35B9" w14:paraId="44E6EA5A"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4B92372E" w14:textId="3E3F903F" w:rsidR="008565C0" w:rsidRDefault="008565C0" w:rsidP="009850C6">
            <w:pPr>
              <w:pStyle w:val="ListParagraph"/>
              <w:numPr>
                <w:ilvl w:val="0"/>
                <w:numId w:val="41"/>
              </w:numPr>
              <w:spacing w:after="160" w:line="256" w:lineRule="auto"/>
              <w:ind w:left="728"/>
              <w:jc w:val="both"/>
              <w:rPr>
                <w:b/>
              </w:rPr>
            </w:pPr>
            <w:r>
              <w:rPr>
                <w:b/>
              </w:rPr>
              <w:t>Competitivitatea afacerilor</w:t>
            </w:r>
          </w:p>
          <w:p w14:paraId="02CFEB2F" w14:textId="0413A8C1" w:rsidR="00B050A1" w:rsidRDefault="00B050A1" w:rsidP="00166211">
            <w:pPr>
              <w:pStyle w:val="ListParagraph"/>
              <w:spacing w:after="160" w:line="256" w:lineRule="auto"/>
              <w:ind w:left="0" w:firstLine="728"/>
              <w:jc w:val="both"/>
            </w:pPr>
            <w:r w:rsidRPr="00B050A1">
              <w:t xml:space="preserve">Prevederile noi </w:t>
            </w:r>
            <w:r>
              <w:t>sunt</w:t>
            </w:r>
            <w:r w:rsidRPr="00B050A1">
              <w:t xml:space="preserve"> proiectate pentru creșterea competitivității </w:t>
            </w:r>
            <w:r>
              <w:t>prin sporirea performanței participanților din domeniul executării lucrărilor de amenajare a instalațiilor electrice.</w:t>
            </w:r>
          </w:p>
          <w:p w14:paraId="6A6FD03E" w14:textId="4E23B98D" w:rsidR="00D13DBC" w:rsidRPr="00FE0AB1" w:rsidRDefault="00FE0AB1" w:rsidP="009850C6">
            <w:pPr>
              <w:pStyle w:val="ListParagraph"/>
              <w:numPr>
                <w:ilvl w:val="0"/>
                <w:numId w:val="41"/>
              </w:numPr>
              <w:spacing w:after="160" w:line="256" w:lineRule="auto"/>
              <w:ind w:left="728"/>
              <w:jc w:val="both"/>
              <w:rPr>
                <w:b/>
              </w:rPr>
            </w:pPr>
            <w:r w:rsidRPr="00FE0AB1">
              <w:rPr>
                <w:b/>
              </w:rPr>
              <w:t>Concurența pe piață</w:t>
            </w:r>
          </w:p>
          <w:p w14:paraId="577C4C6F" w14:textId="28E78F98" w:rsidR="00FE0AB1" w:rsidRDefault="009A2DD4" w:rsidP="00166211">
            <w:pPr>
              <w:pStyle w:val="ListParagraph"/>
              <w:spacing w:after="160" w:line="256" w:lineRule="auto"/>
              <w:ind w:left="0" w:firstLine="728"/>
              <w:jc w:val="both"/>
            </w:pPr>
            <w:r w:rsidRPr="009A2DD4">
              <w:t xml:space="preserve">Creșterea </w:t>
            </w:r>
            <w:r w:rsidR="00655955">
              <w:t xml:space="preserve">nivelului </w:t>
            </w:r>
            <w:r w:rsidRPr="009A2DD4">
              <w:t>calității lucrărilor a in</w:t>
            </w:r>
            <w:r>
              <w:t xml:space="preserve">stalațiilor electrice executate, </w:t>
            </w:r>
            <w:r w:rsidR="00BA1B23">
              <w:t>va intensifica concurența în domeniu, prin necesitatea adaptării rapide la noile prevederi și la calitatea corespunzătoare a lucrărilor executate.</w:t>
            </w:r>
          </w:p>
          <w:p w14:paraId="0B1965A7" w14:textId="39724FCB" w:rsidR="00BF5BDE" w:rsidRPr="00BF5BDE" w:rsidRDefault="00BF5BDE" w:rsidP="00BF5BDE">
            <w:pPr>
              <w:pStyle w:val="ListParagraph"/>
              <w:numPr>
                <w:ilvl w:val="0"/>
                <w:numId w:val="41"/>
              </w:numPr>
              <w:spacing w:after="160" w:line="256" w:lineRule="auto"/>
              <w:ind w:left="728"/>
              <w:jc w:val="both"/>
            </w:pPr>
            <w:r>
              <w:rPr>
                <w:b/>
              </w:rPr>
              <w:t>Cadrul instituțional al autorităților publice</w:t>
            </w:r>
          </w:p>
          <w:p w14:paraId="716BDE35" w14:textId="6F2D93D1" w:rsidR="00BF5BDE" w:rsidRPr="00BF5BDE" w:rsidRDefault="00CB4C97" w:rsidP="00166211">
            <w:pPr>
              <w:pStyle w:val="ListParagraph"/>
              <w:spacing w:after="160" w:line="256" w:lineRule="auto"/>
              <w:ind w:left="0" w:firstLine="728"/>
              <w:jc w:val="both"/>
            </w:pPr>
            <w:r>
              <w:t>Va fi asigurată implementarea prevederilor Legii cu privire la energetică, îndeosebi privind atribuțiile Agenției în legătură cu supravegherea energetică de stat.</w:t>
            </w:r>
          </w:p>
          <w:p w14:paraId="06ECAD76" w14:textId="77777777" w:rsidR="00465926" w:rsidRDefault="00BF5BDE" w:rsidP="00BF5BDE">
            <w:pPr>
              <w:pStyle w:val="ListParagraph"/>
              <w:numPr>
                <w:ilvl w:val="0"/>
                <w:numId w:val="41"/>
              </w:numPr>
              <w:spacing w:after="160" w:line="256" w:lineRule="auto"/>
              <w:ind w:left="728"/>
              <w:jc w:val="both"/>
            </w:pPr>
            <w:r>
              <w:rPr>
                <w:b/>
              </w:rPr>
              <w:t xml:space="preserve">Bunăstarea </w:t>
            </w:r>
            <w:r w:rsidRPr="00BF5BDE">
              <w:rPr>
                <w:b/>
              </w:rPr>
              <w:t>gospodăriilor casnice și a cetățenilor</w:t>
            </w:r>
            <w:r>
              <w:t xml:space="preserve"> </w:t>
            </w:r>
          </w:p>
          <w:p w14:paraId="4209060D" w14:textId="4688BDF8" w:rsidR="003A03E8" w:rsidRDefault="00AB345F" w:rsidP="00166211">
            <w:pPr>
              <w:pStyle w:val="ListParagraph"/>
              <w:spacing w:after="160" w:line="256" w:lineRule="auto"/>
              <w:ind w:left="19" w:firstLine="709"/>
              <w:jc w:val="both"/>
            </w:pPr>
            <w:r>
              <w:lastRenderedPageBreak/>
              <w:t>Odată cu</w:t>
            </w:r>
            <w:r w:rsidR="003828EF">
              <w:t>, cât și cu</w:t>
            </w:r>
            <w:r>
              <w:t xml:space="preserve"> reducerea numărului de instalații periculoase pentru utilizare, </w:t>
            </w:r>
            <w:r w:rsidR="003828EF">
              <w:t>va crește fiabilitatea întregului sistem energetic, ceea ce va spori securitatea consumatorilor finali, respectiv a gospodăriilor casnice și a cetățenilor.</w:t>
            </w:r>
          </w:p>
          <w:p w14:paraId="12B27383" w14:textId="4508FDE4" w:rsidR="00D16FDE" w:rsidRPr="00C10153" w:rsidRDefault="00D16FDE" w:rsidP="00D16FDE">
            <w:pPr>
              <w:pStyle w:val="ListParagraph"/>
              <w:numPr>
                <w:ilvl w:val="0"/>
                <w:numId w:val="41"/>
              </w:numPr>
              <w:spacing w:after="160" w:line="256" w:lineRule="auto"/>
              <w:ind w:left="728"/>
              <w:jc w:val="both"/>
            </w:pPr>
            <w:r>
              <w:rPr>
                <w:b/>
              </w:rPr>
              <w:t>Sănătatea și securitatea muncii</w:t>
            </w:r>
          </w:p>
          <w:p w14:paraId="0500DC96" w14:textId="713B6AB7" w:rsidR="00C10153" w:rsidRPr="00C10153" w:rsidRDefault="000F2C32" w:rsidP="00166211">
            <w:pPr>
              <w:pStyle w:val="ListParagraph"/>
              <w:spacing w:after="160" w:line="256" w:lineRule="auto"/>
              <w:ind w:left="0" w:firstLine="728"/>
              <w:jc w:val="both"/>
            </w:pPr>
            <w:r>
              <w:t>Sănătatea și securitatea muncii reprezintă un subiect vital pentru viața fiecăruia din noi, o mare parte a timpului petrecând-o la locul de muncă, iar admiterea în exploatare a instalațiilor electrice inofensive, poate avea doar un impact pozitiv.</w:t>
            </w:r>
          </w:p>
          <w:p w14:paraId="6B3FD636" w14:textId="1CB5BC3C" w:rsidR="00C10153" w:rsidRPr="00C10153" w:rsidRDefault="00BF5BDE" w:rsidP="00D16FDE">
            <w:pPr>
              <w:pStyle w:val="ListParagraph"/>
              <w:numPr>
                <w:ilvl w:val="0"/>
                <w:numId w:val="41"/>
              </w:numPr>
              <w:spacing w:after="160" w:line="256" w:lineRule="auto"/>
              <w:ind w:left="728"/>
              <w:jc w:val="both"/>
            </w:pPr>
            <w:r>
              <w:rPr>
                <w:b/>
              </w:rPr>
              <w:t>Accesul la bunuri și servicii de bază, în special pentru persoanele social - vulnerabile</w:t>
            </w:r>
          </w:p>
          <w:p w14:paraId="7ED87045" w14:textId="3C08D5E7" w:rsidR="00C10153" w:rsidRPr="00BF5BDE" w:rsidRDefault="00F2604F" w:rsidP="00166211">
            <w:pPr>
              <w:pStyle w:val="ListParagraph"/>
              <w:spacing w:after="160" w:line="256" w:lineRule="auto"/>
              <w:ind w:left="0" w:firstLine="728"/>
              <w:jc w:val="both"/>
            </w:pPr>
            <w:r>
              <w:t>Accesul la servicii de bază în condiții de securitate, se va asigura prin</w:t>
            </w:r>
            <w:r w:rsidR="009D03E6">
              <w:t xml:space="preserve"> conformitate cu Legea cu privire la energia electrică, art. 48, alin. (7), î</w:t>
            </w:r>
            <w:r w:rsidR="009D03E6" w:rsidRPr="00120DFF">
              <w:t>n cazul racordării locului de consum cu o putere contractată de cel mult 150 kW la reţeaua electrică de distribuţie de tensiune joasă şi medie, admiterea în exploatare a instalaţiei electrice se confirmă prin declaraţia electricianului autorizat, cu excepţia grădinițelor, școlilor, spitalelor, azilurilor de bătrâni şi a orfelinatelor, cazuri în care admiterea în exploatare se face de către organul supravegh</w:t>
            </w:r>
            <w:r>
              <w:t xml:space="preserve">erii energetice de stat. </w:t>
            </w:r>
          </w:p>
          <w:p w14:paraId="4C927DA3" w14:textId="1FEE6DB5" w:rsidR="00C10153" w:rsidRPr="00B91F0D" w:rsidRDefault="006D7210" w:rsidP="00D16FDE">
            <w:pPr>
              <w:pStyle w:val="ListParagraph"/>
              <w:numPr>
                <w:ilvl w:val="0"/>
                <w:numId w:val="41"/>
              </w:numPr>
              <w:spacing w:after="160" w:line="256" w:lineRule="auto"/>
              <w:ind w:left="728"/>
              <w:jc w:val="both"/>
            </w:pPr>
            <w:r>
              <w:rPr>
                <w:b/>
              </w:rPr>
              <w:t>Nivelul criminalității și securității publice</w:t>
            </w:r>
          </w:p>
          <w:p w14:paraId="18F36AE2" w14:textId="0A751DD7" w:rsidR="00B91F0D" w:rsidRPr="00B91F0D" w:rsidRDefault="00EC6C77" w:rsidP="00166211">
            <w:pPr>
              <w:pStyle w:val="ListParagraph"/>
              <w:spacing w:after="160" w:line="256" w:lineRule="auto"/>
              <w:ind w:left="19" w:firstLine="709"/>
              <w:jc w:val="both"/>
            </w:pPr>
            <w:r>
              <w:t>După cum a mai fost menționat, creșterea nivelului de calitate a lucrărilor instalațiilor electrice executate, cu admiterea acestora în exploatare și uti</w:t>
            </w:r>
            <w:r w:rsidR="00742DC7">
              <w:t>lizarea ulterioară</w:t>
            </w:r>
            <w:r>
              <w:t xml:space="preserve"> </w:t>
            </w:r>
            <w:r w:rsidR="008E700E">
              <w:t xml:space="preserve">a instalațiilor electrice inofensive, </w:t>
            </w:r>
            <w:r>
              <w:t xml:space="preserve">de către publicul larg, </w:t>
            </w:r>
            <w:r w:rsidR="00742DC7">
              <w:t>inevitabil va duce la creșterea nivelului securității publice.</w:t>
            </w:r>
          </w:p>
          <w:p w14:paraId="00CF85C1" w14:textId="5FA87218" w:rsidR="00B91F0D" w:rsidRPr="00B91F0D" w:rsidRDefault="00B91F0D" w:rsidP="00B91F0D">
            <w:pPr>
              <w:pStyle w:val="ListParagraph"/>
              <w:numPr>
                <w:ilvl w:val="0"/>
                <w:numId w:val="41"/>
              </w:numPr>
              <w:spacing w:after="160" w:line="256" w:lineRule="auto"/>
              <w:ind w:left="728"/>
              <w:jc w:val="both"/>
              <w:rPr>
                <w:b/>
              </w:rPr>
            </w:pPr>
            <w:r w:rsidRPr="00B91F0D">
              <w:rPr>
                <w:b/>
              </w:rPr>
              <w:t>Accesul și calitatea serviciilor publice administrative</w:t>
            </w:r>
          </w:p>
          <w:p w14:paraId="08B8F8DE" w14:textId="5DA7A45F" w:rsidR="00F66202" w:rsidRPr="006D7210" w:rsidRDefault="00F66202" w:rsidP="00166211">
            <w:pPr>
              <w:pStyle w:val="ListParagraph"/>
              <w:spacing w:after="160" w:line="256" w:lineRule="auto"/>
              <w:ind w:left="19" w:firstLine="709"/>
              <w:jc w:val="both"/>
            </w:pPr>
            <w:r>
              <w:t xml:space="preserve">Prin intermediul Regulamentului în redacția nouă, se stabilește o perioadă scurtă, de 5 zile lucrătoare, pentru emiterea actului de corespundere. Regulamentul aprobat urmează a fi plasat pe pagina web oficială </w:t>
            </w:r>
            <w:hyperlink r:id="rId9" w:history="1">
              <w:r w:rsidRPr="00FA725A">
                <w:rPr>
                  <w:rStyle w:val="Hyperlink"/>
                </w:rPr>
                <w:t>www.anre.md</w:t>
              </w:r>
            </w:hyperlink>
            <w:r>
              <w:t>, în vederea asigurării accesului liber și nediscriminatoriu la informație.</w:t>
            </w:r>
          </w:p>
          <w:p w14:paraId="0F392664" w14:textId="7016F431" w:rsidR="00C10153" w:rsidRPr="006D7210" w:rsidRDefault="006D7210" w:rsidP="00D16FDE">
            <w:pPr>
              <w:pStyle w:val="ListParagraph"/>
              <w:numPr>
                <w:ilvl w:val="0"/>
                <w:numId w:val="41"/>
              </w:numPr>
              <w:spacing w:after="160" w:line="256" w:lineRule="auto"/>
              <w:ind w:left="728"/>
              <w:jc w:val="both"/>
            </w:pPr>
            <w:r>
              <w:rPr>
                <w:b/>
              </w:rPr>
              <w:t>Discriminarea</w:t>
            </w:r>
          </w:p>
          <w:p w14:paraId="193BBB9A" w14:textId="02FAE7F6" w:rsidR="00B93CB5" w:rsidRDefault="00B93CB5" w:rsidP="00166211">
            <w:pPr>
              <w:pStyle w:val="ListParagraph"/>
              <w:spacing w:after="160" w:line="256" w:lineRule="auto"/>
              <w:ind w:left="19" w:firstLine="709"/>
              <w:jc w:val="both"/>
            </w:pPr>
            <w:r w:rsidRPr="00A06D52">
              <w:t xml:space="preserve">În conformitate cu Legea cu privire la energetică, art. </w:t>
            </w:r>
            <w:r>
              <w:t>8</w:t>
            </w:r>
            <w:r w:rsidRPr="00A06D52">
              <w:t>,</w:t>
            </w:r>
            <w:r>
              <w:t xml:space="preserve"> alin. (5), </w:t>
            </w:r>
            <w:r w:rsidRPr="00B93CB5">
              <w:t>Agenția îşi exercită atribuțiile în mod independent, cu respectarea principiilor de obiectivitate, imparțialitate, transparență și nediscriminare.</w:t>
            </w:r>
          </w:p>
          <w:p w14:paraId="3BA2F87B" w14:textId="1833E097" w:rsidR="006D7210" w:rsidRPr="006D7210" w:rsidRDefault="00782FF9" w:rsidP="00166211">
            <w:pPr>
              <w:pStyle w:val="ListParagraph"/>
              <w:spacing w:after="160" w:line="256" w:lineRule="auto"/>
              <w:ind w:left="19" w:firstLine="709"/>
              <w:jc w:val="both"/>
            </w:pPr>
            <w:r>
              <w:t>În conformitate cu Legea cu privire la energia electrică, art. 48, alin. (9), p</w:t>
            </w:r>
            <w:r w:rsidRPr="00782FF9">
              <w:t>ersoanele fizice şi persoanele juridice, indiferent de tipul de proprietate şi forma juridică de organizare, care au în proprietate instalaţii electrice, linii electri</w:t>
            </w:r>
            <w:r>
              <w:t>ce şi posturi de transformare su</w:t>
            </w:r>
            <w:r w:rsidRPr="00782FF9">
              <w:t>nt în drept să le transmită, cu titlu gratuit, în proprietatea operatorului de sistem. Operatorul sistemului de distribuţie este obligat să primească instalațiile electrice transmise cu titlu gratuit cu condiția efectuării de către proprietarul instalaţiilor electrice, liniilor electrice şi posturilor de transformare a lucrărilor necesare pentru a asigura corespunderea acestora cu cerinţele de securitate. Corespunderea reţelelor electrice ce urmează a fi transmise în proprietatea operatorului de sistem se atestă în baza actului de corespundere, eliberat proprietarului instalaţiilor electrice, liniilor electrice sau posturilor de transformare de către organul supravegherii energetice de stat.</w:t>
            </w:r>
          </w:p>
          <w:p w14:paraId="60C2DC97" w14:textId="00CBF2EB" w:rsidR="006D7210" w:rsidRPr="003A03E8" w:rsidRDefault="006D7210" w:rsidP="00D16FDE">
            <w:pPr>
              <w:pStyle w:val="ListParagraph"/>
              <w:numPr>
                <w:ilvl w:val="0"/>
                <w:numId w:val="41"/>
              </w:numPr>
              <w:spacing w:after="160" w:line="256" w:lineRule="auto"/>
              <w:ind w:left="728"/>
              <w:jc w:val="both"/>
            </w:pPr>
            <w:r>
              <w:rPr>
                <w:b/>
              </w:rPr>
              <w:t>Utilizarea eficientă a resurselor regenerabile și neregenerabile</w:t>
            </w:r>
          </w:p>
          <w:p w14:paraId="000000A9" w14:textId="128703C7" w:rsidR="00D16FDE" w:rsidRPr="003A03E8" w:rsidRDefault="00A06D52" w:rsidP="00166211">
            <w:pPr>
              <w:pStyle w:val="ListParagraph"/>
              <w:spacing w:after="160" w:line="256" w:lineRule="auto"/>
              <w:ind w:left="0" w:firstLine="728"/>
              <w:jc w:val="both"/>
            </w:pPr>
            <w:r w:rsidRPr="00A06D52">
              <w:t>În conformitate cu Legea cu privire la energetică, art. 12,</w:t>
            </w:r>
            <w:r w:rsidR="00800085">
              <w:t xml:space="preserve"> alin. (1),</w:t>
            </w:r>
            <w:r w:rsidRPr="00A06D52">
              <w:t xml:space="preserve"> una din atribuțiile Agenției este promovarea și facilitarea accesului participanților noi (inclusiv al producătorilor de energie din surse regenerabile), la rețelele electrice, la piețele energiei electrice, în special prin eliminarea barierelor care le-ar putea împiedica accesul. Art. 21, alin. (10), specifică faptul că consumatorii care dispun de centrală electrică sunt în drept să livreze în reţelele electrice surplusul de energie electrică în condițiile stabilite în Legea cu privire la energia electrică și în Legea nr. 10/2016 privind promovarea utilizării energiei din surse regenerabile.</w:t>
            </w:r>
            <w:r w:rsidR="00800085">
              <w:t xml:space="preserve"> </w:t>
            </w:r>
            <w:r w:rsidR="00390463">
              <w:t xml:space="preserve">Reiterăm faptul că actul de corespundere se emite pentru instalația electrică sau centrala electrică executată, centrala electrică fiind o instalație sau ansamblu de instalații tehnice care produc energie electrică, utilizând diverse </w:t>
            </w:r>
            <w:r w:rsidR="00390463">
              <w:lastRenderedPageBreak/>
              <w:t>feluri de combustibili (cărbune, gaze, produse petroliere etc.) sau alte resurse energetice, inclusiv surse regenerabile de energie.</w:t>
            </w:r>
          </w:p>
        </w:tc>
      </w:tr>
      <w:tr w:rsidR="00FB609F" w:rsidRPr="003D35B9" w14:paraId="69B9523D"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AA" w14:textId="77777777" w:rsidR="00FB609F" w:rsidRPr="003D35B9" w:rsidRDefault="00F62480">
            <w:r w:rsidRPr="003D35B9">
              <w:rPr>
                <w:b/>
                <w:i/>
              </w:rPr>
              <w:lastRenderedPageBreak/>
              <w:t>b2) Pentru opțiunile alternative analizate, identificați impacturile completând tabelul din anexa la prezentul formular. Descrieți pe larg impacturile sub formă de costuri sau beneficii, inclusiv părțile interesate care ar putea fi afectate pozitiv și negativ de acestea</w:t>
            </w:r>
          </w:p>
        </w:tc>
      </w:tr>
      <w:tr w:rsidR="00FB609F" w:rsidRPr="003D35B9" w14:paraId="0594DC4F"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AB" w14:textId="5C66314F" w:rsidR="00FB609F" w:rsidRPr="003D35B9" w:rsidRDefault="00102ED9" w:rsidP="00166211">
            <w:pPr>
              <w:ind w:firstLine="587"/>
              <w:jc w:val="both"/>
            </w:pPr>
            <w:r w:rsidRPr="00311D36">
              <w:t>În contextul prevederilor legislației în vigoare, nu au fost identificate opțiuni alternative de intervenție.</w:t>
            </w:r>
          </w:p>
        </w:tc>
      </w:tr>
      <w:tr w:rsidR="00FB609F" w:rsidRPr="003D35B9" w14:paraId="3AD476A0"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AC" w14:textId="77777777" w:rsidR="00FB609F" w:rsidRPr="003D35B9" w:rsidRDefault="00F62480">
            <w:r w:rsidRPr="003D35B9">
              <w:rPr>
                <w:b/>
                <w:i/>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r>
      <w:tr w:rsidR="00FB609F" w:rsidRPr="003D35B9" w14:paraId="03D7AD3F"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7465217B" w14:textId="77777777" w:rsidR="006039FA" w:rsidRDefault="006039FA" w:rsidP="00166211">
            <w:pPr>
              <w:spacing w:line="257" w:lineRule="auto"/>
              <w:ind w:firstLine="587"/>
              <w:jc w:val="both"/>
            </w:pPr>
            <w:r w:rsidRPr="00311D36">
              <w:t>În urma analizei opțiunii propuse nu au fost identificate riscuri majore care ar putea duce la eșecul intervenției sau efecte negative majore.</w:t>
            </w:r>
          </w:p>
          <w:p w14:paraId="000000AE" w14:textId="5892020A" w:rsidR="00FB609F" w:rsidRPr="003D35B9" w:rsidRDefault="006039FA" w:rsidP="00166211">
            <w:pPr>
              <w:spacing w:line="257" w:lineRule="auto"/>
              <w:ind w:firstLine="587"/>
              <w:jc w:val="both"/>
            </w:pPr>
            <w:r w:rsidRPr="00311D36">
              <w:t xml:space="preserve">Un risc relativ minor, dar care este posibil să apară este necesitatea unei perioade de adaptare a </w:t>
            </w:r>
            <w:r>
              <w:t xml:space="preserve">participanților </w:t>
            </w:r>
            <w:r w:rsidRPr="00311D36">
              <w:t>la noile condiții și reguli.</w:t>
            </w:r>
          </w:p>
        </w:tc>
      </w:tr>
      <w:tr w:rsidR="00FB609F" w:rsidRPr="003D35B9" w14:paraId="041E0A8E"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AF" w14:textId="0C25524F" w:rsidR="00FB609F" w:rsidRPr="003D35B9" w:rsidRDefault="00F62480">
            <w:pPr>
              <w:jc w:val="both"/>
              <w:rPr>
                <w:i/>
              </w:rPr>
            </w:pPr>
            <w:r w:rsidRPr="003D35B9">
              <w:rPr>
                <w:b/>
                <w:i/>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311D36" w:rsidRPr="003D35B9">
              <w:rPr>
                <w:b/>
                <w:i/>
              </w:rPr>
              <w:t>sunt</w:t>
            </w:r>
            <w:r w:rsidRPr="003D35B9">
              <w:rPr>
                <w:b/>
                <w:i/>
              </w:rPr>
              <w:t xml:space="preserve"> propuse măsuri de diminuare a acestor impacturi</w:t>
            </w:r>
          </w:p>
        </w:tc>
      </w:tr>
      <w:tr w:rsidR="00FB609F" w:rsidRPr="003D35B9" w14:paraId="0F8793B3"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B3" w14:textId="7562A8C5" w:rsidR="00FB609F" w:rsidRPr="003D35B9" w:rsidRDefault="002B39FC" w:rsidP="002B39FC">
            <w:pPr>
              <w:spacing w:line="276" w:lineRule="auto"/>
              <w:ind w:firstLine="581"/>
              <w:jc w:val="both"/>
            </w:pPr>
            <w:r>
              <w:t>Autorii proiectului nu a</w:t>
            </w:r>
            <w:r w:rsidR="003251A3">
              <w:t>u</w:t>
            </w:r>
            <w:r>
              <w:t xml:space="preserve"> identificat costuri de conformare. </w:t>
            </w:r>
          </w:p>
        </w:tc>
      </w:tr>
      <w:tr w:rsidR="00FB609F" w:rsidRPr="003D35B9" w14:paraId="5F39F0A6"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B4" w14:textId="77777777" w:rsidR="00FB609F" w:rsidRPr="003D35B9" w:rsidRDefault="00F62480">
            <w:r w:rsidRPr="003D35B9">
              <w:rPr>
                <w:b/>
                <w:u w:val="single"/>
              </w:rPr>
              <w:t>Concluzie</w:t>
            </w:r>
          </w:p>
          <w:p w14:paraId="000000B5" w14:textId="77777777" w:rsidR="00FB609F" w:rsidRPr="003D35B9" w:rsidRDefault="00F62480">
            <w:r w:rsidRPr="003D35B9">
              <w:rPr>
                <w:b/>
              </w:rPr>
              <w:t>e) Argumentați selectarea unei opțiunii, în baza atingerii obiectivelor, beneficiilor și costurilor, precum și a asigurării celui mai mic impact negativ asupra celor afectați</w:t>
            </w:r>
          </w:p>
        </w:tc>
      </w:tr>
      <w:tr w:rsidR="00FB609F" w:rsidRPr="003D35B9" w14:paraId="4CD1FA1A"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B6" w14:textId="22A01BB5" w:rsidR="00FB609F" w:rsidRPr="00CF081A" w:rsidRDefault="006D463F" w:rsidP="00927B7D">
            <w:pPr>
              <w:ind w:firstLine="595"/>
              <w:jc w:val="both"/>
            </w:pPr>
            <w:r w:rsidRPr="00CF081A">
              <w:t>În concluzie</w:t>
            </w:r>
            <w:r w:rsidR="007C5365" w:rsidRPr="00CF081A">
              <w:t xml:space="preserve">, autorii prezentei AIR optează pentru </w:t>
            </w:r>
            <w:r w:rsidRPr="00CF081A">
              <w:t>opțiunea</w:t>
            </w:r>
            <w:r w:rsidR="007C5365" w:rsidRPr="00CF081A">
              <w:t xml:space="preserve"> care presupune elaborarea şi </w:t>
            </w:r>
            <w:r w:rsidRPr="00CF081A">
              <w:t xml:space="preserve">aprobarea </w:t>
            </w:r>
            <w:r w:rsidR="007C5365" w:rsidRPr="00CF081A">
              <w:t xml:space="preserve"> </w:t>
            </w:r>
            <w:r w:rsidR="00DA59F4" w:rsidRPr="00CF081A">
              <w:t>Regul</w:t>
            </w:r>
            <w:r w:rsidRPr="00CF081A">
              <w:t xml:space="preserve">amentului privind </w:t>
            </w:r>
            <w:r w:rsidR="00927B7D">
              <w:t>admiterea în exploatare a instalațiilor electrice</w:t>
            </w:r>
            <w:r w:rsidR="007C5365" w:rsidRPr="00CF081A">
              <w:t>.</w:t>
            </w:r>
          </w:p>
        </w:tc>
      </w:tr>
      <w:tr w:rsidR="00FB609F" w:rsidRPr="003D35B9" w14:paraId="2E74A391"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B7" w14:textId="77777777" w:rsidR="00FB609F" w:rsidRPr="003D35B9" w:rsidRDefault="00F62480">
            <w:r w:rsidRPr="003D35B9">
              <w:rPr>
                <w:b/>
              </w:rPr>
              <w:t>5. Implementarea şi monitorizarea</w:t>
            </w:r>
          </w:p>
        </w:tc>
      </w:tr>
      <w:tr w:rsidR="00FB609F" w:rsidRPr="003D35B9" w14:paraId="4BB3CFA3"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B8" w14:textId="77777777" w:rsidR="00FB609F" w:rsidRPr="003D35B9" w:rsidRDefault="00F62480">
            <w:r w:rsidRPr="003D35B9">
              <w:rPr>
                <w:b/>
                <w:i/>
              </w:rPr>
              <w:t>a) Descrieți cum va fi organizată implementarea opțiunii recomandate, ce cadru juridic necesită a fi modificat și/sau elaborat și aprobat, ce schimbări instituționale sunt necesare </w:t>
            </w:r>
          </w:p>
        </w:tc>
      </w:tr>
      <w:tr w:rsidR="00FB609F" w:rsidRPr="003D35B9" w14:paraId="440DD6C2"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B9" w14:textId="32865BAD" w:rsidR="00FB609F" w:rsidRPr="003D35B9" w:rsidRDefault="00FC37B2" w:rsidP="008D043A">
            <w:pPr>
              <w:ind w:firstLine="587"/>
              <w:jc w:val="both"/>
            </w:pPr>
            <w:r w:rsidRPr="00311D36">
              <w:t xml:space="preserve">În prezent, cadrul juridic conține prevederile necesare pentru a permite Agenției de a efectua monitorizarea </w:t>
            </w:r>
            <w:r w:rsidR="008D043A">
              <w:t>emiterii actelor de corespundere</w:t>
            </w:r>
            <w:r w:rsidRPr="00311D36">
              <w:t>.</w:t>
            </w:r>
          </w:p>
        </w:tc>
      </w:tr>
      <w:tr w:rsidR="00FB609F" w:rsidRPr="003D35B9" w14:paraId="61F4AE36"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BA" w14:textId="77777777" w:rsidR="00FB609F" w:rsidRPr="003D35B9" w:rsidRDefault="00F62480">
            <w:r w:rsidRPr="003D35B9">
              <w:rPr>
                <w:i/>
              </w:rPr>
              <w:t>b) Indicați clar indicatorii de performanță în baza cărora se va efectua monitorizarea</w:t>
            </w:r>
          </w:p>
        </w:tc>
      </w:tr>
      <w:tr w:rsidR="00FB609F" w:rsidRPr="003D35B9" w14:paraId="02CC3060"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6D24876D" w14:textId="77777777" w:rsidR="00BA422B" w:rsidRPr="00BB40B6" w:rsidRDefault="00BA422B" w:rsidP="00BA422B">
            <w:pPr>
              <w:ind w:firstLine="587"/>
              <w:jc w:val="both"/>
            </w:pPr>
            <w:r w:rsidRPr="00BB40B6">
              <w:t>Potențiali indicatori de performanță ce ar putea fi utilizați pentru a efectua monitorizarea și impactul intervenției propuse:</w:t>
            </w:r>
          </w:p>
          <w:p w14:paraId="1FFACAA4" w14:textId="77777777" w:rsidR="0029367A" w:rsidRDefault="00983DD8" w:rsidP="00BB40B6">
            <w:pPr>
              <w:pStyle w:val="ListParagraph"/>
              <w:numPr>
                <w:ilvl w:val="0"/>
                <w:numId w:val="44"/>
              </w:numPr>
              <w:ind w:left="870" w:hanging="283"/>
              <w:jc w:val="both"/>
            </w:pPr>
            <w:r>
              <w:t>numărul</w:t>
            </w:r>
            <w:r w:rsidR="00BB40B6" w:rsidRPr="00BB40B6">
              <w:t xml:space="preserve"> de instalații periculoase pentru utilizare, incendii, avarii, electrocutări și șocuri electrice în procesul de exploatare a instalațiilor și centralelor electrice</w:t>
            </w:r>
            <w:r w:rsidR="00F97811">
              <w:t>;</w:t>
            </w:r>
          </w:p>
          <w:p w14:paraId="000000C2" w14:textId="0CCEB93C" w:rsidR="00F97811" w:rsidRPr="00BB40B6" w:rsidRDefault="00F97811" w:rsidP="00BB40B6">
            <w:pPr>
              <w:pStyle w:val="ListParagraph"/>
              <w:numPr>
                <w:ilvl w:val="0"/>
                <w:numId w:val="44"/>
              </w:numPr>
              <w:ind w:left="870" w:hanging="283"/>
              <w:jc w:val="both"/>
            </w:pPr>
            <w:r>
              <w:t>numărul actelor de corespundere emise în termen.</w:t>
            </w:r>
          </w:p>
        </w:tc>
      </w:tr>
      <w:tr w:rsidR="00FB609F" w:rsidRPr="003D35B9" w14:paraId="6E6895C9"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C3" w14:textId="41B6E977" w:rsidR="00FB609F" w:rsidRPr="003D35B9" w:rsidRDefault="00F62480">
            <w:r w:rsidRPr="003D35B9">
              <w:rPr>
                <w:i/>
              </w:rPr>
              <w:t xml:space="preserve">c) Identificați peste </w:t>
            </w:r>
            <w:r w:rsidR="00311D36" w:rsidRPr="003D35B9">
              <w:rPr>
                <w:i/>
              </w:rPr>
              <w:t>cât</w:t>
            </w:r>
            <w:r w:rsidRPr="003D35B9">
              <w:rPr>
                <w:i/>
              </w:rPr>
              <w:t xml:space="preserve"> timp vor fi resimțite impacturile estimate și este necesară evaluarea performanței actului normativ propus. Explicați cum va fi monitorizată şi evaluată opţiunea</w:t>
            </w:r>
          </w:p>
        </w:tc>
      </w:tr>
      <w:tr w:rsidR="00FB609F" w:rsidRPr="003D35B9" w14:paraId="3D4721BB"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C4" w14:textId="1E1762E3" w:rsidR="00FB609F" w:rsidRPr="003D35B9" w:rsidRDefault="006D6F5B" w:rsidP="00D332AF">
            <w:pPr>
              <w:ind w:firstLine="595"/>
              <w:jc w:val="both"/>
            </w:pPr>
            <w:r w:rsidRPr="00A50367">
              <w:t xml:space="preserve">Evaluarea impactului </w:t>
            </w:r>
            <w:r>
              <w:t>Regulamentului</w:t>
            </w:r>
            <w:r w:rsidRPr="00A50367">
              <w:t xml:space="preserve"> propus spre promovare va fi posibilă d</w:t>
            </w:r>
            <w:r w:rsidR="00736D1C">
              <w:t>upă o perioadă</w:t>
            </w:r>
            <w:r w:rsidRPr="00A50367">
              <w:t xml:space="preserve"> de cel puțin un an de la </w:t>
            </w:r>
            <w:r w:rsidR="00736D1C">
              <w:t xml:space="preserve">punerea în </w:t>
            </w:r>
            <w:r w:rsidRPr="00A50367">
              <w:t>aplicare</w:t>
            </w:r>
            <w:r w:rsidR="00736D1C">
              <w:t xml:space="preserve"> </w:t>
            </w:r>
            <w:r w:rsidRPr="00A50367">
              <w:t>a</w:t>
            </w:r>
            <w:r w:rsidR="00736D1C">
              <w:t xml:space="preserve"> Regulamentului în redacție nouă</w:t>
            </w:r>
            <w:r w:rsidRPr="00A50367">
              <w:t xml:space="preserve">. </w:t>
            </w:r>
          </w:p>
        </w:tc>
      </w:tr>
      <w:tr w:rsidR="00FB609F" w:rsidRPr="003D35B9" w14:paraId="6CE5C817"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C5" w14:textId="77777777" w:rsidR="00FB609F" w:rsidRPr="003D35B9" w:rsidRDefault="00F62480">
            <w:r w:rsidRPr="003D35B9">
              <w:rPr>
                <w:b/>
                <w:i/>
              </w:rPr>
              <w:lastRenderedPageBreak/>
              <w:t>6. Consultarea</w:t>
            </w:r>
          </w:p>
        </w:tc>
      </w:tr>
      <w:tr w:rsidR="00FB609F" w:rsidRPr="003D35B9" w14:paraId="463A0D4C"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C6" w14:textId="77777777" w:rsidR="00FB609F" w:rsidRPr="003D35B9" w:rsidRDefault="00F62480">
            <w:r w:rsidRPr="003D35B9">
              <w:rPr>
                <w:b/>
                <w:i/>
              </w:rPr>
              <w:t>a) Identificați principalele părți (grupuri) interesate în intervenția propusă</w:t>
            </w:r>
          </w:p>
        </w:tc>
      </w:tr>
      <w:tr w:rsidR="00FB609F" w:rsidRPr="003D35B9" w14:paraId="3C1CE8AA"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C7" w14:textId="30F81D14" w:rsidR="00FB609F" w:rsidRPr="00CF081A" w:rsidRDefault="00373041" w:rsidP="00BE4AAA">
            <w:pPr>
              <w:numPr>
                <w:ilvl w:val="0"/>
                <w:numId w:val="31"/>
              </w:numPr>
              <w:rPr>
                <w:rFonts w:ascii="Roboto" w:eastAsia="Roboto" w:hAnsi="Roboto" w:cs="Roboto"/>
                <w:sz w:val="21"/>
                <w:szCs w:val="21"/>
              </w:rPr>
            </w:pPr>
            <w:r w:rsidRPr="00CF081A">
              <w:t>Consumatorii finali</w:t>
            </w:r>
            <w:r w:rsidR="00F62480" w:rsidRPr="00CF081A">
              <w:t>;</w:t>
            </w:r>
          </w:p>
          <w:p w14:paraId="131D57FC" w14:textId="2D4436D8" w:rsidR="00373041" w:rsidRPr="00CF081A" w:rsidRDefault="00373041" w:rsidP="00BE4AAA">
            <w:pPr>
              <w:numPr>
                <w:ilvl w:val="0"/>
                <w:numId w:val="31"/>
              </w:numPr>
              <w:rPr>
                <w:rFonts w:ascii="Roboto" w:eastAsia="Roboto" w:hAnsi="Roboto" w:cs="Roboto"/>
                <w:sz w:val="21"/>
                <w:szCs w:val="21"/>
              </w:rPr>
            </w:pPr>
            <w:r w:rsidRPr="00CF081A">
              <w:t>Furnizorii de energie electrică;</w:t>
            </w:r>
          </w:p>
          <w:p w14:paraId="000000C8" w14:textId="11939402" w:rsidR="00FB609F" w:rsidRPr="00CF081A" w:rsidRDefault="00F62480" w:rsidP="00BE4AAA">
            <w:pPr>
              <w:numPr>
                <w:ilvl w:val="0"/>
                <w:numId w:val="31"/>
              </w:numPr>
              <w:rPr>
                <w:rFonts w:ascii="Roboto" w:eastAsia="Roboto" w:hAnsi="Roboto" w:cs="Roboto"/>
                <w:sz w:val="21"/>
                <w:szCs w:val="21"/>
              </w:rPr>
            </w:pPr>
            <w:r w:rsidRPr="00CF081A">
              <w:t xml:space="preserve">Operatorii sistemelor de distribuție a </w:t>
            </w:r>
            <w:r w:rsidR="00373041" w:rsidRPr="00CF081A">
              <w:t>energiei electrice</w:t>
            </w:r>
            <w:r w:rsidRPr="00CF081A">
              <w:t>;</w:t>
            </w:r>
          </w:p>
          <w:p w14:paraId="000000CA" w14:textId="0DB2D52A" w:rsidR="00FC7EFA" w:rsidRPr="00CF081A" w:rsidRDefault="00373041" w:rsidP="00BE4AAA">
            <w:pPr>
              <w:numPr>
                <w:ilvl w:val="0"/>
                <w:numId w:val="31"/>
              </w:numPr>
              <w:rPr>
                <w:rFonts w:ascii="Roboto" w:eastAsia="Roboto" w:hAnsi="Roboto" w:cs="Roboto"/>
                <w:sz w:val="21"/>
                <w:szCs w:val="21"/>
              </w:rPr>
            </w:pPr>
            <w:r w:rsidRPr="00CF081A">
              <w:t xml:space="preserve">Operatorii </w:t>
            </w:r>
            <w:r w:rsidR="001F1C00" w:rsidRPr="00CF081A">
              <w:t>sistemului</w:t>
            </w:r>
            <w:r w:rsidRPr="00CF081A">
              <w:t xml:space="preserve"> de transport a energiei electrice.</w:t>
            </w:r>
          </w:p>
        </w:tc>
      </w:tr>
      <w:tr w:rsidR="00FB609F" w:rsidRPr="003D35B9" w14:paraId="3C16833F"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CB" w14:textId="77777777" w:rsidR="00FB609F" w:rsidRPr="003D35B9" w:rsidRDefault="00F62480">
            <w:r w:rsidRPr="003D35B9">
              <w:rPr>
                <w:b/>
                <w:i/>
              </w:rPr>
              <w:t>b) Explicați succint cum (prin ce metode) s-a asigurat consultarea adecvată a părților</w:t>
            </w:r>
          </w:p>
        </w:tc>
      </w:tr>
      <w:tr w:rsidR="00FB609F" w:rsidRPr="003D35B9" w14:paraId="46B5D849" w14:textId="77777777" w:rsidTr="007920FA">
        <w:tc>
          <w:tcPr>
            <w:tcW w:w="9640"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1D699FC9" w14:textId="55FBC71D" w:rsidR="00B83316" w:rsidRPr="00CF081A" w:rsidRDefault="00595C8F" w:rsidP="005744A4">
            <w:pPr>
              <w:tabs>
                <w:tab w:val="left" w:pos="385"/>
              </w:tabs>
              <w:ind w:firstLine="569"/>
              <w:jc w:val="both"/>
              <w:rPr>
                <w:bCs/>
                <w:lang w:eastAsia="ja-JP"/>
              </w:rPr>
            </w:pPr>
            <w:r w:rsidRPr="00CF081A">
              <w:rPr>
                <w:bCs/>
              </w:rPr>
              <w:t>C</w:t>
            </w:r>
            <w:r w:rsidR="00DA59F4" w:rsidRPr="00CF081A">
              <w:rPr>
                <w:bCs/>
              </w:rPr>
              <w:t xml:space="preserve">u privire la oportunitatea aprobării de către ANRE a proiectului </w:t>
            </w:r>
            <w:r w:rsidRPr="00CF081A">
              <w:rPr>
                <w:bCs/>
              </w:rPr>
              <w:t xml:space="preserve">Regulamentului privind </w:t>
            </w:r>
            <w:r w:rsidR="00927B7D">
              <w:rPr>
                <w:bCs/>
              </w:rPr>
              <w:t>admiterea în exploatare a instalațiilor electrice</w:t>
            </w:r>
            <w:r w:rsidR="00DA59F4" w:rsidRPr="00CF081A">
              <w:rPr>
                <w:bCs/>
              </w:rPr>
              <w:t xml:space="preserve">, de către Agenție a fost emis un </w:t>
            </w:r>
            <w:r w:rsidRPr="00CF081A">
              <w:rPr>
                <w:bCs/>
              </w:rPr>
              <w:t>anunț</w:t>
            </w:r>
            <w:r w:rsidR="00DA59F4" w:rsidRPr="00CF081A">
              <w:rPr>
                <w:bCs/>
              </w:rPr>
              <w:t xml:space="preserve"> cu privire la </w:t>
            </w:r>
            <w:r w:rsidRPr="00CF081A">
              <w:rPr>
                <w:bCs/>
              </w:rPr>
              <w:t>inițierea</w:t>
            </w:r>
            <w:r w:rsidR="00DA59F4" w:rsidRPr="00CF081A">
              <w:rPr>
                <w:bCs/>
              </w:rPr>
              <w:t xml:space="preserve"> elaborării acestui proiect. În procesul de elaborare a </w:t>
            </w:r>
            <w:r w:rsidRPr="00CF081A">
              <w:rPr>
                <w:bCs/>
              </w:rPr>
              <w:t>Regulamentului</w:t>
            </w:r>
            <w:r w:rsidR="00B7162A" w:rsidRPr="00CF081A">
              <w:rPr>
                <w:bCs/>
              </w:rPr>
              <w:t>, Agenția v</w:t>
            </w:r>
            <w:r w:rsidR="00DA59F4" w:rsidRPr="00CF081A">
              <w:rPr>
                <w:bCs/>
              </w:rPr>
              <w:t xml:space="preserve">a consulta </w:t>
            </w:r>
            <w:r w:rsidR="00B83316" w:rsidRPr="00CF081A">
              <w:rPr>
                <w:bCs/>
                <w:lang w:eastAsia="ja-JP"/>
              </w:rPr>
              <w:t>Ministerul Economiei și Infrastructurii, operatorul reţelei de transport Î.S. „Moldelectrica”, titularii de licențe pentru distribuția energiei electrice Î.C.S. „Premier Energy Distribution” S.A., S.A. „RED Nord”, producătorii de energie electrică SA „Termoelectrica”, SA „CET Nord”, Hidrocentrala Costești-Stânca, Agenția pentru Supraveghere Tehnică, Inspectoratul General pentru Situații de Urgență, Institutul Național de Standardizare,</w:t>
            </w:r>
            <w:r w:rsidR="00B83316" w:rsidRPr="00CF081A">
              <w:rPr>
                <w:bCs/>
                <w:sz w:val="26"/>
                <w:szCs w:val="26"/>
                <w:lang w:eastAsia="ro-RO"/>
              </w:rPr>
              <w:t xml:space="preserve"> </w:t>
            </w:r>
            <w:r w:rsidR="00B83316" w:rsidRPr="00CF081A">
              <w:rPr>
                <w:bCs/>
                <w:lang w:eastAsia="ja-JP"/>
              </w:rPr>
              <w:t>Asociația Consumatorilor de Energie din Moldova, Confederaţia Naţională a Sindicatelor din Moldova, Confederația Națională a Patronatului din Republica Moldova, Consiliul Concurenței şi Federaţia “CONDRUMAT”.</w:t>
            </w:r>
          </w:p>
          <w:p w14:paraId="6D664EBE" w14:textId="429ADB89" w:rsidR="00DA59F4" w:rsidRPr="00CF081A" w:rsidRDefault="00DA59F4" w:rsidP="005744A4">
            <w:pPr>
              <w:tabs>
                <w:tab w:val="left" w:pos="385"/>
              </w:tabs>
              <w:ind w:firstLine="569"/>
              <w:jc w:val="both"/>
              <w:rPr>
                <w:bCs/>
              </w:rPr>
            </w:pPr>
            <w:r w:rsidRPr="00CF081A">
              <w:rPr>
                <w:bCs/>
              </w:rPr>
              <w:t>Totodată</w:t>
            </w:r>
            <w:r w:rsidRPr="00CF081A">
              <w:rPr>
                <w:bCs/>
                <w:i/>
              </w:rPr>
              <w:t xml:space="preserve">, </w:t>
            </w:r>
            <w:r w:rsidRPr="00CF081A">
              <w:rPr>
                <w:bCs/>
              </w:rPr>
              <w:t>pe pagina web a Agenției</w:t>
            </w:r>
            <w:r w:rsidRPr="00CF081A">
              <w:rPr>
                <w:bCs/>
                <w:i/>
              </w:rPr>
              <w:t xml:space="preserve"> </w:t>
            </w:r>
            <w:r w:rsidRPr="00CF081A">
              <w:rPr>
                <w:bCs/>
              </w:rPr>
              <w:t>(</w:t>
            </w:r>
            <w:hyperlink r:id="rId10" w:history="1">
              <w:r w:rsidRPr="00CF081A">
                <w:rPr>
                  <w:rStyle w:val="Hyperlink"/>
                  <w:bCs/>
                </w:rPr>
                <w:t>www.anre.md</w:t>
              </w:r>
            </w:hyperlink>
            <w:r w:rsidRPr="00CF081A">
              <w:rPr>
                <w:bCs/>
              </w:rPr>
              <w:t xml:space="preserve">, la rubrica Transparența decizională / Consultări Publice) </w:t>
            </w:r>
            <w:r w:rsidR="00261937">
              <w:rPr>
                <w:bCs/>
              </w:rPr>
              <w:t>a fost plasat</w:t>
            </w:r>
            <w:r w:rsidRPr="00CF081A">
              <w:rPr>
                <w:bCs/>
              </w:rPr>
              <w:t xml:space="preserve"> proiectul </w:t>
            </w:r>
            <w:r w:rsidR="00C21422" w:rsidRPr="00CF081A">
              <w:rPr>
                <w:bCs/>
              </w:rPr>
              <w:t>Regulamentului</w:t>
            </w:r>
            <w:r w:rsidR="00261937">
              <w:rPr>
                <w:bCs/>
              </w:rPr>
              <w:t>, Nota informativă</w:t>
            </w:r>
            <w:r w:rsidRPr="00CF081A">
              <w:rPr>
                <w:bCs/>
              </w:rPr>
              <w:t xml:space="preserve"> și Analiza Preliminară a Impactului de Reglementare pentru examinare şi avizare, astfel, încât orice persoană interesată să poată accesa documentele respective pentru a prezenta propuneri și obiecții pe marginea lor, inclusiv prin </w:t>
            </w:r>
            <w:r w:rsidR="00261937" w:rsidRPr="00CF081A">
              <w:rPr>
                <w:bCs/>
              </w:rPr>
              <w:t>poșta</w:t>
            </w:r>
            <w:r w:rsidRPr="00CF081A">
              <w:rPr>
                <w:bCs/>
              </w:rPr>
              <w:t xml:space="preserve"> el</w:t>
            </w:r>
            <w:r w:rsidR="00B7162A" w:rsidRPr="00CF081A">
              <w:rPr>
                <w:bCs/>
              </w:rPr>
              <w:t>ectronică, la adresa electronică</w:t>
            </w:r>
            <w:r w:rsidRPr="00CF081A">
              <w:rPr>
                <w:bCs/>
              </w:rPr>
              <w:t xml:space="preserve"> indicată pe site. </w:t>
            </w:r>
          </w:p>
          <w:p w14:paraId="000000D7" w14:textId="098C5BE3" w:rsidR="000255A9" w:rsidRPr="00CF081A" w:rsidRDefault="00DA59F4" w:rsidP="00261937">
            <w:pPr>
              <w:ind w:firstLine="569"/>
              <w:jc w:val="both"/>
            </w:pPr>
            <w:r w:rsidRPr="00CF081A">
              <w:rPr>
                <w:iCs/>
              </w:rPr>
              <w:t>Toate</w:t>
            </w:r>
            <w:r w:rsidRPr="00CF081A">
              <w:rPr>
                <w:bCs/>
              </w:rPr>
              <w:t xml:space="preserve"> obiecţiile şi propunerile expediate în adresa </w:t>
            </w:r>
            <w:r w:rsidR="00261937" w:rsidRPr="00CF081A">
              <w:rPr>
                <w:bCs/>
              </w:rPr>
              <w:t>Agenției</w:t>
            </w:r>
            <w:r w:rsidR="00B7162A" w:rsidRPr="00CF081A">
              <w:rPr>
                <w:bCs/>
              </w:rPr>
              <w:t>,</w:t>
            </w:r>
            <w:r w:rsidRPr="00CF081A">
              <w:rPr>
                <w:bCs/>
              </w:rPr>
              <w:t xml:space="preserve"> care </w:t>
            </w:r>
            <w:r w:rsidR="00261937">
              <w:rPr>
                <w:bCs/>
              </w:rPr>
              <w:t>au fost</w:t>
            </w:r>
            <w:r w:rsidRPr="00CF081A">
              <w:rPr>
                <w:bCs/>
              </w:rPr>
              <w:t xml:space="preserve"> prezentate în cadrul consultărilo</w:t>
            </w:r>
            <w:r w:rsidR="00261937">
              <w:rPr>
                <w:bCs/>
              </w:rPr>
              <w:t>r au fost</w:t>
            </w:r>
            <w:r w:rsidRPr="00CF081A">
              <w:rPr>
                <w:bCs/>
              </w:rPr>
              <w:t xml:space="preserve"> luate în considerare la elaborarea variantei finale a </w:t>
            </w:r>
            <w:r w:rsidR="00B7162A" w:rsidRPr="00CF081A">
              <w:rPr>
                <w:bCs/>
              </w:rPr>
              <w:t>Regulamentului</w:t>
            </w:r>
            <w:r w:rsidRPr="00CF081A">
              <w:rPr>
                <w:bCs/>
              </w:rPr>
              <w:t xml:space="preserve"> în cauză.</w:t>
            </w:r>
          </w:p>
        </w:tc>
      </w:tr>
      <w:tr w:rsidR="00FB609F" w:rsidRPr="003D35B9" w14:paraId="49373E89" w14:textId="77777777" w:rsidTr="007920FA">
        <w:tc>
          <w:tcPr>
            <w:tcW w:w="9640" w:type="dxa"/>
            <w:tcBorders>
              <w:top w:val="single" w:sz="6" w:space="0" w:color="C1C7CD"/>
              <w:left w:val="single" w:sz="4" w:space="0" w:color="C1C7CD"/>
              <w:bottom w:val="single" w:sz="6" w:space="0" w:color="C1C7CD"/>
              <w:right w:val="single" w:sz="4" w:space="0" w:color="C1C7CD"/>
            </w:tcBorders>
            <w:tcMar>
              <w:top w:w="75" w:type="dxa"/>
              <w:left w:w="120" w:type="dxa"/>
              <w:bottom w:w="75" w:type="dxa"/>
              <w:right w:w="120" w:type="dxa"/>
            </w:tcMar>
          </w:tcPr>
          <w:p w14:paraId="000000D8" w14:textId="77777777" w:rsidR="00FB609F" w:rsidRPr="003D35B9" w:rsidRDefault="00F62480">
            <w:r w:rsidRPr="003D35B9">
              <w:rPr>
                <w:b/>
                <w:i/>
              </w:rPr>
              <w:t>c) Expuneți succint poziția fiecărei entități consultate față de documentul de analiză a impactului şi/sau intervenția propusă (se expune poziția a cel puțin unui exponent din fiecare grup de interese identificat)</w:t>
            </w:r>
          </w:p>
        </w:tc>
      </w:tr>
      <w:tr w:rsidR="002A4158" w:rsidRPr="003D35B9" w14:paraId="6766FBB0" w14:textId="77777777" w:rsidTr="007920FA">
        <w:tc>
          <w:tcPr>
            <w:tcW w:w="9640" w:type="dxa"/>
            <w:tcBorders>
              <w:top w:val="single" w:sz="6" w:space="0" w:color="C1C7CD"/>
              <w:left w:val="single" w:sz="4" w:space="0" w:color="C1C7CD"/>
              <w:bottom w:val="single" w:sz="4" w:space="0" w:color="C1C7CD"/>
              <w:right w:val="single" w:sz="4" w:space="0" w:color="C1C7CD"/>
            </w:tcBorders>
            <w:shd w:val="clear" w:color="auto" w:fill="FFFFFF"/>
            <w:tcMar>
              <w:top w:w="75" w:type="dxa"/>
              <w:left w:w="120" w:type="dxa"/>
              <w:bottom w:w="75" w:type="dxa"/>
              <w:right w:w="120" w:type="dxa"/>
            </w:tcMar>
          </w:tcPr>
          <w:p w14:paraId="2A2EA9C2" w14:textId="77777777" w:rsidR="00726F2F" w:rsidRPr="00726F2F" w:rsidRDefault="00726F2F" w:rsidP="00726F2F">
            <w:pPr>
              <w:ind w:firstLine="290"/>
              <w:jc w:val="both"/>
            </w:pPr>
            <w:r w:rsidRPr="00726F2F">
              <w:t>În cadrul consultărilor publice, avize au fost prezentate de către următoarele instituții:</w:t>
            </w:r>
          </w:p>
          <w:p w14:paraId="5825A03B" w14:textId="4E8BC14F" w:rsidR="00B21B78" w:rsidRDefault="00C0263D" w:rsidP="00261937">
            <w:pPr>
              <w:numPr>
                <w:ilvl w:val="1"/>
                <w:numId w:val="45"/>
              </w:numPr>
              <w:tabs>
                <w:tab w:val="left" w:pos="874"/>
              </w:tabs>
              <w:ind w:left="23" w:firstLine="568"/>
              <w:jc w:val="both"/>
              <w:rPr>
                <w:b/>
                <w:i/>
              </w:rPr>
            </w:pPr>
            <w:r w:rsidRPr="00726F2F">
              <w:rPr>
                <w:b/>
                <w:i/>
              </w:rPr>
              <w:t>Inspectoratul General pentru Situații de Urgență – 13 propuneri, cu avizare pozitivă;</w:t>
            </w:r>
          </w:p>
          <w:p w14:paraId="6283DBFF" w14:textId="2142284B" w:rsidR="00261937" w:rsidRPr="00726F2F" w:rsidRDefault="00261937" w:rsidP="00261937">
            <w:pPr>
              <w:tabs>
                <w:tab w:val="left" w:pos="874"/>
              </w:tabs>
              <w:ind w:left="23" w:firstLine="568"/>
              <w:jc w:val="both"/>
              <w:rPr>
                <w:b/>
                <w:i/>
              </w:rPr>
            </w:pPr>
            <w:r w:rsidRPr="00261937">
              <w:rPr>
                <w:rFonts w:eastAsia="Calibri"/>
                <w:lang w:eastAsia="en-US"/>
              </w:rPr>
              <w:t>Exemplu de propunere:</w:t>
            </w:r>
            <w:r w:rsidR="00BA7BCC">
              <w:rPr>
                <w:rFonts w:eastAsia="Calibri"/>
                <w:lang w:eastAsia="en-US"/>
              </w:rPr>
              <w:t xml:space="preserve"> la pct. 4 d</w:t>
            </w:r>
            <w:r w:rsidR="00BA7BCC" w:rsidRPr="00BA7BCC">
              <w:rPr>
                <w:rFonts w:eastAsia="Calibri"/>
                <w:lang w:eastAsia="en-US"/>
              </w:rPr>
              <w:t>e completa</w:t>
            </w:r>
            <w:r w:rsidR="00BA7BCC">
              <w:rPr>
                <w:rFonts w:eastAsia="Calibri"/>
                <w:lang w:eastAsia="en-US"/>
              </w:rPr>
              <w:t>t</w:t>
            </w:r>
            <w:r w:rsidR="00BA7BCC" w:rsidRPr="00BA7BCC">
              <w:rPr>
                <w:rFonts w:eastAsia="Calibri"/>
                <w:lang w:eastAsia="en-US"/>
              </w:rPr>
              <w:t xml:space="preserve"> după sintagma “Regulamentul de recepție a construcțiilor și instalațiilor aferente, aprobat prin Hotărârea Guvernului nr. 285/1996” cu sintagma </w:t>
            </w:r>
            <w:r w:rsidR="00BA7BCC" w:rsidRPr="00BA7BCC">
              <w:rPr>
                <w:rFonts w:eastAsia="Calibri"/>
                <w:bCs/>
                <w:lang w:eastAsia="en-US"/>
              </w:rPr>
              <w:t>“</w:t>
            </w:r>
            <w:bookmarkStart w:id="1" w:name="_Hlk44069833"/>
            <w:r w:rsidR="00BA7BCC" w:rsidRPr="00BA7BCC">
              <w:rPr>
                <w:rFonts w:eastAsia="Calibri"/>
                <w:bCs/>
                <w:lang w:eastAsia="en-US"/>
              </w:rPr>
              <w:t>Reglementarea tehnică “Reguli generale de apărare împotriva incendiilor în Republica Moldova” RT DSE 1.01-2005, aprobată prin Hotărârea Guvernului nr. 1159 din 24.10.2007</w:t>
            </w:r>
            <w:bookmarkEnd w:id="1"/>
            <w:r w:rsidR="00BA7BCC" w:rsidRPr="00BA7BCC">
              <w:rPr>
                <w:rFonts w:eastAsia="Calibri"/>
                <w:bCs/>
                <w:lang w:eastAsia="en-US"/>
              </w:rPr>
              <w:t>”</w:t>
            </w:r>
            <w:r w:rsidR="00BA7BCC" w:rsidRPr="00BA7BCC">
              <w:rPr>
                <w:rFonts w:eastAsia="Calibri"/>
                <w:lang w:eastAsia="en-US"/>
              </w:rPr>
              <w:t>.</w:t>
            </w:r>
            <w:r w:rsidR="00BA7BCC">
              <w:rPr>
                <w:rFonts w:eastAsia="Calibri"/>
                <w:lang w:eastAsia="en-US"/>
              </w:rPr>
              <w:t xml:space="preserve"> Conform prevederilor pct. 2 din norma menționată, </w:t>
            </w:r>
            <w:r w:rsidR="00BA7BCC" w:rsidRPr="00BA7BCC">
              <w:rPr>
                <w:rFonts w:eastAsia="Calibri"/>
                <w:bCs/>
                <w:lang w:eastAsia="en-US"/>
              </w:rPr>
              <w:t>Reglementarea tehnică “Reguli generale de apărare împotriva incendiilor în Republica Moldova” RT DSE 1.01-2005</w:t>
            </w:r>
            <w:r w:rsidR="00BA7BCC">
              <w:rPr>
                <w:rFonts w:eastAsia="Calibri"/>
                <w:bCs/>
                <w:lang w:eastAsia="en-US"/>
              </w:rPr>
              <w:t xml:space="preserve"> stabilește condiții speciale de apărare împotriva incendiilor, conform legislației în vigoare și este obligatorie atât pentru autoritățile publice, persoanele juridice, indiferent de tipul de proprietate și forma juridică de organizare, cât și pentru persoanele fizice. </w:t>
            </w:r>
            <w:r w:rsidR="00BA7BCC">
              <w:rPr>
                <w:rFonts w:eastAsia="Calibri"/>
                <w:lang w:eastAsia="en-US"/>
              </w:rPr>
              <w:t xml:space="preserve">Astfel în textul Regulamentului, la pct. 4 </w:t>
            </w:r>
            <w:r w:rsidR="00BA7BCC" w:rsidRPr="00BA7BCC">
              <w:rPr>
                <w:rFonts w:eastAsia="Calibri"/>
                <w:lang w:eastAsia="en-US"/>
              </w:rPr>
              <w:t>după sintagma “Regulamentul de recepție a construcțiilor și instalațiilor aferente, aprobat prin Hotărârea Guvernului nr. 285/1996”</w:t>
            </w:r>
            <w:r w:rsidR="00BA7BCC">
              <w:rPr>
                <w:rFonts w:eastAsia="Calibri"/>
                <w:lang w:eastAsia="en-US"/>
              </w:rPr>
              <w:t xml:space="preserve">, a fost </w:t>
            </w:r>
            <w:r w:rsidR="00E04988">
              <w:rPr>
                <w:rFonts w:eastAsia="Calibri"/>
                <w:lang w:eastAsia="en-US"/>
              </w:rPr>
              <w:t xml:space="preserve">completată sintagma </w:t>
            </w:r>
            <w:r w:rsidR="00E04988" w:rsidRPr="00E04988">
              <w:rPr>
                <w:rFonts w:eastAsia="Calibri"/>
                <w:bCs/>
                <w:lang w:eastAsia="en-US"/>
              </w:rPr>
              <w:t>“Reglementarea tehnică “Reguli generale de apărare împotriva incendiilor în Republica Moldova” RT DSE 1.01-2005, aprobată prin Hotărârea Guvernului nr. 1159 din 24.10.2007”</w:t>
            </w:r>
            <w:r w:rsidR="00E04988">
              <w:rPr>
                <w:rFonts w:eastAsia="Calibri"/>
                <w:bCs/>
                <w:lang w:eastAsia="en-US"/>
              </w:rPr>
              <w:t>.</w:t>
            </w:r>
          </w:p>
          <w:p w14:paraId="59702EA7" w14:textId="77777777" w:rsidR="00284ED3" w:rsidRDefault="00284ED3" w:rsidP="00284ED3">
            <w:pPr>
              <w:numPr>
                <w:ilvl w:val="1"/>
                <w:numId w:val="45"/>
              </w:numPr>
              <w:tabs>
                <w:tab w:val="left" w:pos="874"/>
              </w:tabs>
              <w:ind w:left="23" w:firstLine="568"/>
              <w:jc w:val="both"/>
              <w:rPr>
                <w:b/>
                <w:i/>
              </w:rPr>
            </w:pPr>
            <w:r w:rsidRPr="00726F2F">
              <w:rPr>
                <w:b/>
                <w:i/>
              </w:rPr>
              <w:t>Î.C.S. „Premier Energy Distribution” S.A. – 8 propuneri, cu avizare pozitivă;</w:t>
            </w:r>
          </w:p>
          <w:p w14:paraId="5878278A" w14:textId="77777777" w:rsidR="00284ED3" w:rsidRDefault="00284ED3" w:rsidP="00284ED3">
            <w:pPr>
              <w:tabs>
                <w:tab w:val="left" w:pos="874"/>
              </w:tabs>
              <w:ind w:left="23" w:firstLine="568"/>
              <w:jc w:val="both"/>
              <w:rPr>
                <w:rFonts w:eastAsia="Calibri"/>
                <w:bCs/>
                <w:lang w:eastAsia="en-US"/>
              </w:rPr>
            </w:pPr>
            <w:r w:rsidRPr="00261937">
              <w:rPr>
                <w:rFonts w:eastAsia="Calibri"/>
                <w:lang w:eastAsia="en-US"/>
              </w:rPr>
              <w:t>Exemplu de propunere:</w:t>
            </w:r>
            <w:r>
              <w:rPr>
                <w:rFonts w:eastAsia="Calibri"/>
                <w:lang w:eastAsia="en-US"/>
              </w:rPr>
              <w:t xml:space="preserve"> la pct.44, după subpunctul 8,  </w:t>
            </w:r>
            <w:r w:rsidRPr="00E04988">
              <w:rPr>
                <w:rFonts w:eastAsia="Calibri"/>
                <w:bCs/>
                <w:lang w:eastAsia="en-US"/>
              </w:rPr>
              <w:t>Se propune inserarea unui alineat nou. În cazul transmiterii la balanță a posturilor de transformare, solicitantul trebuie sa obțină decizia de alocare a terenului pentru posturile de transformare ce intenționează să le transmită la balanța OSD înregistrată la OCT:</w:t>
            </w:r>
            <w:bookmarkStart w:id="2" w:name="_Hlk44168239"/>
            <w:r>
              <w:rPr>
                <w:rFonts w:eastAsia="Calibri"/>
                <w:bCs/>
                <w:lang w:eastAsia="en-US"/>
              </w:rPr>
              <w:t xml:space="preserve"> „</w:t>
            </w:r>
            <w:r w:rsidRPr="00E04988">
              <w:rPr>
                <w:rFonts w:eastAsia="Calibri"/>
                <w:bCs/>
                <w:lang w:eastAsia="en-US"/>
              </w:rPr>
              <w:t xml:space="preserve">Decizia de alocare a terenului pentru posturile de transformare ce intenționează să le transmită la balanța OSD înregistrată la OCT. Pentru PT incorporate în diverse </w:t>
            </w:r>
            <w:r w:rsidRPr="00E04988">
              <w:rPr>
                <w:rFonts w:eastAsia="Calibri"/>
                <w:bCs/>
                <w:lang w:eastAsia="en-US"/>
              </w:rPr>
              <w:lastRenderedPageBreak/>
              <w:t>edificii se necesită înregistrarea spațiului (încăperii) PT la OCT</w:t>
            </w:r>
            <w:bookmarkEnd w:id="2"/>
            <w:r>
              <w:rPr>
                <w:rFonts w:eastAsia="Calibri"/>
                <w:bCs/>
                <w:lang w:eastAsia="en-US"/>
              </w:rPr>
              <w:t xml:space="preserve">.” Astfel pct. 46, </w:t>
            </w:r>
            <w:r w:rsidRPr="00E04988">
              <w:rPr>
                <w:rFonts w:eastAsia="Calibri"/>
                <w:bCs/>
                <w:lang w:eastAsia="en-US"/>
              </w:rPr>
              <w:t>a fost completat cu un subpunct nou, nr. 9:</w:t>
            </w:r>
            <w:r>
              <w:rPr>
                <w:rFonts w:eastAsia="Calibri"/>
                <w:bCs/>
                <w:lang w:eastAsia="en-US"/>
              </w:rPr>
              <w:t xml:space="preserve"> </w:t>
            </w:r>
            <w:r w:rsidRPr="00E04988">
              <w:rPr>
                <w:rFonts w:eastAsia="Calibri"/>
                <w:bCs/>
                <w:lang w:eastAsia="en-US"/>
              </w:rPr>
              <w:t>„decizia de alocare a terenului pentru posturile de transformare (în continuare – PT), înregistrată la oficiu cadastral teritorial. Pentru PT incorporate în edificii se necesită înregistrarea încăperii PT la oficiu cadastral teritorial;”</w:t>
            </w:r>
          </w:p>
          <w:p w14:paraId="4A25C73D" w14:textId="3AF8AEDC" w:rsidR="00284ED3" w:rsidRDefault="00284ED3" w:rsidP="00284ED3">
            <w:pPr>
              <w:numPr>
                <w:ilvl w:val="1"/>
                <w:numId w:val="45"/>
              </w:numPr>
              <w:tabs>
                <w:tab w:val="left" w:pos="874"/>
              </w:tabs>
              <w:ind w:left="23" w:firstLine="568"/>
              <w:jc w:val="both"/>
              <w:rPr>
                <w:b/>
                <w:i/>
              </w:rPr>
            </w:pPr>
            <w:r w:rsidRPr="00726F2F">
              <w:rPr>
                <w:b/>
                <w:i/>
              </w:rPr>
              <w:t xml:space="preserve">Ministerul Economiei și Infrastructurii – 2 </w:t>
            </w:r>
            <w:r>
              <w:rPr>
                <w:b/>
                <w:i/>
              </w:rPr>
              <w:t>propuneri, cu avizare pozitivă;</w:t>
            </w:r>
          </w:p>
          <w:p w14:paraId="7158F88C" w14:textId="264FAA2E" w:rsidR="00284ED3" w:rsidRPr="00284ED3" w:rsidRDefault="00284ED3" w:rsidP="00274AFE">
            <w:pPr>
              <w:tabs>
                <w:tab w:val="left" w:pos="874"/>
              </w:tabs>
              <w:ind w:left="23" w:firstLine="568"/>
              <w:jc w:val="both"/>
              <w:rPr>
                <w:b/>
                <w:i/>
              </w:rPr>
            </w:pPr>
            <w:r w:rsidRPr="00261937">
              <w:rPr>
                <w:rFonts w:eastAsia="Calibri"/>
                <w:lang w:eastAsia="en-US"/>
              </w:rPr>
              <w:t>Exemplu de propunere:</w:t>
            </w:r>
            <w:r w:rsidR="00274AFE" w:rsidRPr="00274AFE">
              <w:rPr>
                <w:rFonts w:eastAsiaTheme="minorHAnsi"/>
                <w:sz w:val="20"/>
                <w:szCs w:val="20"/>
                <w:lang w:eastAsia="en-US"/>
              </w:rPr>
              <w:t xml:space="preserve"> </w:t>
            </w:r>
            <w:r w:rsidR="00274AFE" w:rsidRPr="00274AFE">
              <w:rPr>
                <w:rFonts w:eastAsia="Calibri"/>
                <w:lang w:eastAsia="en-US"/>
              </w:rPr>
              <w:t>În secțiunea 4, punctul 18 de corectat numerotarea Anexei din 15 în 17, deoarece în anexa 17 este descris formularul cu privire la Actul de corespundere, totodată lipsește informația cu privire la datele de identitate ale proprietarului și anume IDNO și e-mail.</w:t>
            </w:r>
            <w:r w:rsidR="00274AFE">
              <w:rPr>
                <w:rFonts w:eastAsia="Calibri"/>
                <w:lang w:eastAsia="en-US"/>
              </w:rPr>
              <w:t xml:space="preserve"> Astfel în pct. 19 a fost rectificat numărul Anexei, iar </w:t>
            </w:r>
            <w:r w:rsidR="00274AFE" w:rsidRPr="00274AFE">
              <w:rPr>
                <w:rFonts w:eastAsia="Calibri"/>
                <w:lang w:eastAsia="en-US"/>
              </w:rPr>
              <w:t>Anexa nr. 17 a fost suplinită cu datele de identitate ale proprietarului și anume IDNO și e-mail.</w:t>
            </w:r>
          </w:p>
          <w:p w14:paraId="3680D1F3" w14:textId="3581A864" w:rsidR="00B21B78" w:rsidRPr="00726F2F" w:rsidRDefault="00C0263D" w:rsidP="00284ED3">
            <w:pPr>
              <w:numPr>
                <w:ilvl w:val="1"/>
                <w:numId w:val="45"/>
              </w:numPr>
              <w:tabs>
                <w:tab w:val="left" w:pos="874"/>
              </w:tabs>
              <w:ind w:left="23" w:firstLine="568"/>
              <w:jc w:val="both"/>
              <w:rPr>
                <w:b/>
                <w:i/>
              </w:rPr>
            </w:pPr>
            <w:r w:rsidRPr="00726F2F">
              <w:rPr>
                <w:b/>
                <w:bCs/>
                <w:i/>
              </w:rPr>
              <w:t>Confederația Națională a Sindicatelor din Moldova</w:t>
            </w:r>
            <w:r w:rsidRPr="00726F2F">
              <w:rPr>
                <w:b/>
                <w:i/>
              </w:rPr>
              <w:t xml:space="preserve"> – 0 propuneri, cu avizare pozitivă; </w:t>
            </w:r>
          </w:p>
          <w:p w14:paraId="07031AF1" w14:textId="77777777" w:rsidR="00726F2F" w:rsidRPr="00726F2F" w:rsidRDefault="00C0263D" w:rsidP="00261937">
            <w:pPr>
              <w:numPr>
                <w:ilvl w:val="1"/>
                <w:numId w:val="45"/>
              </w:numPr>
              <w:tabs>
                <w:tab w:val="left" w:pos="874"/>
              </w:tabs>
              <w:ind w:left="23" w:firstLine="568"/>
              <w:jc w:val="both"/>
              <w:rPr>
                <w:b/>
                <w:i/>
              </w:rPr>
            </w:pPr>
            <w:r w:rsidRPr="00726F2F">
              <w:rPr>
                <w:b/>
                <w:i/>
              </w:rPr>
              <w:t>Consiliul Concurenței – 0 propuneri, cu avizare pozitivă;</w:t>
            </w:r>
          </w:p>
          <w:p w14:paraId="1D2D43DA" w14:textId="77777777" w:rsidR="00726F2F" w:rsidRPr="00726F2F" w:rsidRDefault="00726F2F" w:rsidP="00261937">
            <w:pPr>
              <w:numPr>
                <w:ilvl w:val="1"/>
                <w:numId w:val="45"/>
              </w:numPr>
              <w:tabs>
                <w:tab w:val="left" w:pos="874"/>
              </w:tabs>
              <w:ind w:left="23" w:firstLine="568"/>
              <w:jc w:val="both"/>
              <w:rPr>
                <w:b/>
                <w:i/>
              </w:rPr>
            </w:pPr>
            <w:r w:rsidRPr="00726F2F">
              <w:rPr>
                <w:b/>
                <w:i/>
              </w:rPr>
              <w:t>Agenția Supraveghere Tehnică – 0 propuneri, cu avizare pozitivă;</w:t>
            </w:r>
          </w:p>
          <w:p w14:paraId="6C90D3CA" w14:textId="77777777" w:rsidR="00B21B78" w:rsidRPr="00726F2F" w:rsidRDefault="00726F2F" w:rsidP="00261937">
            <w:pPr>
              <w:numPr>
                <w:ilvl w:val="1"/>
                <w:numId w:val="45"/>
              </w:numPr>
              <w:tabs>
                <w:tab w:val="left" w:pos="874"/>
              </w:tabs>
              <w:ind w:left="23" w:firstLine="568"/>
              <w:jc w:val="both"/>
              <w:rPr>
                <w:b/>
                <w:i/>
              </w:rPr>
            </w:pPr>
            <w:r w:rsidRPr="00726F2F">
              <w:rPr>
                <w:b/>
                <w:i/>
              </w:rPr>
              <w:t>SA „Rețele Electrice de Distribuție Nord” – 0 propuneri, cu avizare pozitivă;</w:t>
            </w:r>
          </w:p>
          <w:p w14:paraId="7B7974F7" w14:textId="4ECBD33E" w:rsidR="00B21B78" w:rsidRPr="00284ED3" w:rsidRDefault="00284ED3" w:rsidP="00284ED3">
            <w:pPr>
              <w:numPr>
                <w:ilvl w:val="1"/>
                <w:numId w:val="45"/>
              </w:numPr>
              <w:tabs>
                <w:tab w:val="left" w:pos="874"/>
              </w:tabs>
              <w:ind w:left="23" w:firstLine="568"/>
              <w:jc w:val="both"/>
              <w:rPr>
                <w:b/>
                <w:i/>
              </w:rPr>
            </w:pPr>
            <w:r w:rsidRPr="00726F2F">
              <w:rPr>
                <w:b/>
                <w:i/>
              </w:rPr>
              <w:t>SA „CET-Nord” – 0 propuneri, cu avizare pozitivă;</w:t>
            </w:r>
          </w:p>
          <w:p w14:paraId="000000D9" w14:textId="58782E15" w:rsidR="002A4158" w:rsidRPr="00CF081A" w:rsidRDefault="00726F2F" w:rsidP="0087048B">
            <w:pPr>
              <w:ind w:firstLine="290"/>
              <w:jc w:val="both"/>
            </w:pPr>
            <w:r w:rsidRPr="00726F2F">
              <w:rPr>
                <w:rFonts w:eastAsia="Calibri"/>
                <w:lang w:eastAsia="en-US"/>
              </w:rPr>
              <w:t xml:space="preserve">Astfel, în total au fost prezentate avize cu un număr de 23 propuneri în total, cu privire la proiectul Regulamentului menționat. Din acestea, au fost acceptate 13 propuneri, ceea ce constituie 57% din numărul total de propuneri. Au fost </w:t>
            </w:r>
            <w:r w:rsidR="0087048B" w:rsidRPr="00726F2F">
              <w:rPr>
                <w:rFonts w:eastAsia="Calibri"/>
                <w:lang w:eastAsia="en-US"/>
              </w:rPr>
              <w:t xml:space="preserve">parțial </w:t>
            </w:r>
            <w:r w:rsidRPr="00726F2F">
              <w:rPr>
                <w:rFonts w:eastAsia="Calibri"/>
                <w:lang w:eastAsia="en-US"/>
              </w:rPr>
              <w:t xml:space="preserve">acceptate </w:t>
            </w:r>
            <w:r w:rsidR="0087048B">
              <w:rPr>
                <w:rFonts w:eastAsia="Calibri"/>
                <w:lang w:eastAsia="en-US"/>
              </w:rPr>
              <w:t>3</w:t>
            </w:r>
            <w:r w:rsidRPr="00726F2F">
              <w:rPr>
                <w:rFonts w:eastAsia="Calibri"/>
                <w:lang w:eastAsia="en-US"/>
              </w:rPr>
              <w:t xml:space="preserve"> propuneri, acestea constituind </w:t>
            </w:r>
            <w:r w:rsidR="0087048B">
              <w:rPr>
                <w:rFonts w:eastAsia="Calibri"/>
                <w:lang w:eastAsia="en-US"/>
              </w:rPr>
              <w:t>13</w:t>
            </w:r>
            <w:r w:rsidRPr="00726F2F">
              <w:rPr>
                <w:rFonts w:eastAsia="Calibri"/>
                <w:lang w:eastAsia="en-US"/>
              </w:rPr>
              <w:t xml:space="preserve">% din numărul total de propuneri, iar </w:t>
            </w:r>
            <w:r w:rsidR="0087048B">
              <w:rPr>
                <w:rFonts w:eastAsia="Calibri"/>
                <w:lang w:eastAsia="en-US"/>
              </w:rPr>
              <w:t>7</w:t>
            </w:r>
            <w:r w:rsidRPr="00726F2F">
              <w:rPr>
                <w:rFonts w:eastAsia="Calibri"/>
                <w:lang w:eastAsia="en-US"/>
              </w:rPr>
              <w:t xml:space="preserve"> propuneri care reprezintă </w:t>
            </w:r>
            <w:r w:rsidR="0087048B">
              <w:rPr>
                <w:rFonts w:eastAsia="Calibri"/>
                <w:lang w:eastAsia="en-US"/>
              </w:rPr>
              <w:t>30</w:t>
            </w:r>
            <w:r w:rsidRPr="00726F2F">
              <w:rPr>
                <w:rFonts w:eastAsia="Calibri"/>
                <w:lang w:eastAsia="en-US"/>
              </w:rPr>
              <w:t>% din numărul total de propuneri, nu au fost acceptate.</w:t>
            </w:r>
          </w:p>
        </w:tc>
      </w:tr>
    </w:tbl>
    <w:p w14:paraId="000000DB" w14:textId="5C08DA61" w:rsidR="00FB609F" w:rsidRPr="003D35B9" w:rsidRDefault="00FB609F"/>
    <w:p w14:paraId="0010B010" w14:textId="6B9204F6" w:rsidR="00BA4B68" w:rsidRPr="003D35B9" w:rsidRDefault="00BA4B68"/>
    <w:p w14:paraId="5BD549A0" w14:textId="4E1BB516" w:rsidR="00311D36" w:rsidRPr="003D35B9" w:rsidRDefault="00311D36">
      <w:r w:rsidRPr="003D35B9">
        <w:br w:type="page"/>
      </w:r>
    </w:p>
    <w:tbl>
      <w:tblPr>
        <w:tblStyle w:val="a1"/>
        <w:tblW w:w="9644" w:type="dxa"/>
        <w:tblInd w:w="-289" w:type="dxa"/>
        <w:tblBorders>
          <w:top w:val="single" w:sz="6" w:space="0" w:color="C1C7CD"/>
          <w:left w:val="single" w:sz="6" w:space="0" w:color="C1C7CD"/>
          <w:bottom w:val="single" w:sz="6" w:space="0" w:color="C1C7CD"/>
          <w:right w:val="single" w:sz="6" w:space="0" w:color="C1C7CD"/>
        </w:tblBorders>
        <w:tblLayout w:type="fixed"/>
        <w:tblLook w:val="0400" w:firstRow="0" w:lastRow="0" w:firstColumn="0" w:lastColumn="0" w:noHBand="0" w:noVBand="1"/>
      </w:tblPr>
      <w:tblGrid>
        <w:gridCol w:w="5654"/>
        <w:gridCol w:w="1134"/>
        <w:gridCol w:w="1418"/>
        <w:gridCol w:w="1438"/>
      </w:tblGrid>
      <w:tr w:rsidR="00FB609F" w:rsidRPr="003D35B9" w14:paraId="446B7FD2" w14:textId="77777777" w:rsidTr="007A783F">
        <w:tc>
          <w:tcPr>
            <w:tcW w:w="9644" w:type="dxa"/>
            <w:gridSpan w:val="4"/>
            <w:tcBorders>
              <w:top w:val="single" w:sz="4"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DC" w14:textId="49A23560" w:rsidR="00FB609F" w:rsidRPr="003D35B9" w:rsidRDefault="00923C1B" w:rsidP="00846B53">
            <w:pPr>
              <w:jc w:val="center"/>
            </w:pPr>
            <w:sdt>
              <w:sdtPr>
                <w:tag w:val="goog_rdk_6"/>
                <w:id w:val="-375090318"/>
                <w:showingPlcHdr/>
              </w:sdtPr>
              <w:sdtEndPr/>
              <w:sdtContent>
                <w:r w:rsidR="00846B53" w:rsidRPr="003D35B9">
                  <w:t xml:space="preserve">     </w:t>
                </w:r>
              </w:sdtContent>
            </w:sdt>
            <w:r w:rsidR="00F62480" w:rsidRPr="003D35B9">
              <w:rPr>
                <w:b/>
              </w:rPr>
              <w:t>Anexă</w:t>
            </w:r>
          </w:p>
          <w:p w14:paraId="000000DD" w14:textId="77777777" w:rsidR="00FB609F" w:rsidRPr="003D35B9" w:rsidRDefault="00F62480" w:rsidP="00846B53">
            <w:pPr>
              <w:jc w:val="center"/>
            </w:pPr>
            <w:r w:rsidRPr="003D35B9">
              <w:rPr>
                <w:b/>
              </w:rPr>
              <w:t>Tabel pentru identificarea impacturilor</w:t>
            </w:r>
          </w:p>
        </w:tc>
      </w:tr>
      <w:tr w:rsidR="00FB609F" w:rsidRPr="003D35B9" w14:paraId="6B13653E"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E3" w14:textId="77777777" w:rsidR="00FB609F" w:rsidRPr="003D35B9" w:rsidRDefault="00F62480" w:rsidP="00846B53">
            <w:r w:rsidRPr="003D35B9">
              <w:rPr>
                <w:b/>
              </w:rPr>
              <w:t>Categorii de impact</w:t>
            </w:r>
          </w:p>
        </w:tc>
        <w:tc>
          <w:tcPr>
            <w:tcW w:w="3990" w:type="dxa"/>
            <w:gridSpan w:val="3"/>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0E4" w14:textId="77777777" w:rsidR="00FB609F" w:rsidRPr="003D35B9" w:rsidRDefault="00F62480">
            <w:pPr>
              <w:jc w:val="center"/>
              <w:rPr>
                <w:b/>
              </w:rPr>
            </w:pPr>
            <w:r w:rsidRPr="003D35B9">
              <w:rPr>
                <w:b/>
              </w:rPr>
              <w:t>Punctaj atribuit</w:t>
            </w:r>
          </w:p>
        </w:tc>
      </w:tr>
      <w:tr w:rsidR="00FB609F" w:rsidRPr="003D35B9" w14:paraId="621FE013"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E9" w14:textId="77777777" w:rsidR="00FB609F" w:rsidRPr="003D35B9" w:rsidRDefault="00F62480" w:rsidP="00846B53">
            <w:r w:rsidRPr="003D35B9">
              <w:rPr>
                <w:i/>
              </w:rPr>
              <w:t> </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0EA" w14:textId="77777777" w:rsidR="00FB609F" w:rsidRPr="003D35B9" w:rsidRDefault="00F62480" w:rsidP="00B02114">
            <w:pPr>
              <w:jc w:val="center"/>
            </w:pPr>
            <w:r w:rsidRPr="003D35B9">
              <w:rPr>
                <w:i/>
              </w:rPr>
              <w:t>Opțiunea</w:t>
            </w:r>
          </w:p>
          <w:p w14:paraId="000000EB" w14:textId="77777777" w:rsidR="00FB609F" w:rsidRPr="003D35B9" w:rsidRDefault="00F62480" w:rsidP="00B02114">
            <w:pPr>
              <w:jc w:val="center"/>
            </w:pPr>
            <w:r w:rsidRPr="003D35B9">
              <w:rPr>
                <w:i/>
              </w:rPr>
              <w:t>propusă</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0EC" w14:textId="376A515D" w:rsidR="00FB609F" w:rsidRPr="003D35B9" w:rsidRDefault="002D0E1E" w:rsidP="00B02114">
            <w:pPr>
              <w:jc w:val="center"/>
            </w:pPr>
            <w:r w:rsidRPr="003D35B9">
              <w:rPr>
                <w:i/>
              </w:rPr>
              <w:t>Opțiunea al</w:t>
            </w:r>
            <w:r w:rsidR="00F62480" w:rsidRPr="003D35B9">
              <w:rPr>
                <w:i/>
              </w:rPr>
              <w:t>ter</w:t>
            </w:r>
            <w:r w:rsidRPr="003D35B9">
              <w:rPr>
                <w:i/>
              </w:rPr>
              <w:t>n</w:t>
            </w:r>
            <w:r w:rsidR="00F62480" w:rsidRPr="003D35B9">
              <w:rPr>
                <w:i/>
              </w:rPr>
              <w:t>ativă 1</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0EE" w14:textId="7A15D8F3" w:rsidR="00FB609F" w:rsidRPr="003D35B9" w:rsidRDefault="002D0E1E" w:rsidP="00B02114">
            <w:pPr>
              <w:jc w:val="center"/>
            </w:pPr>
            <w:r w:rsidRPr="003D35B9">
              <w:rPr>
                <w:i/>
              </w:rPr>
              <w:t>Opțiunea al</w:t>
            </w:r>
            <w:r w:rsidR="00F62480" w:rsidRPr="003D35B9">
              <w:rPr>
                <w:i/>
              </w:rPr>
              <w:t>ter</w:t>
            </w:r>
            <w:r w:rsidRPr="003D35B9">
              <w:rPr>
                <w:i/>
              </w:rPr>
              <w:t>n</w:t>
            </w:r>
            <w:r w:rsidR="00F62480" w:rsidRPr="003D35B9">
              <w:rPr>
                <w:i/>
              </w:rPr>
              <w:t>ativă 2</w:t>
            </w:r>
          </w:p>
        </w:tc>
      </w:tr>
      <w:tr w:rsidR="00FB609F" w:rsidRPr="003D35B9" w14:paraId="57C0989C" w14:textId="77777777" w:rsidTr="00B02114">
        <w:tc>
          <w:tcPr>
            <w:tcW w:w="5654" w:type="dxa"/>
            <w:tcBorders>
              <w:top w:val="single" w:sz="6" w:space="0" w:color="C1C7CD"/>
              <w:left w:val="single" w:sz="4" w:space="0" w:color="C1C7CD"/>
              <w:bottom w:val="single" w:sz="4" w:space="0" w:color="C1C7CD"/>
              <w:right w:val="single" w:sz="4" w:space="0" w:color="C1C7CD"/>
            </w:tcBorders>
            <w:shd w:val="clear" w:color="auto" w:fill="DEEAF6"/>
            <w:tcMar>
              <w:top w:w="75" w:type="dxa"/>
              <w:left w:w="120" w:type="dxa"/>
              <w:bottom w:w="75" w:type="dxa"/>
              <w:right w:w="120" w:type="dxa"/>
            </w:tcMar>
          </w:tcPr>
          <w:p w14:paraId="000000F0" w14:textId="77777777" w:rsidR="00FB609F" w:rsidRPr="003D35B9" w:rsidRDefault="00923C1B" w:rsidP="00846B53">
            <w:sdt>
              <w:sdtPr>
                <w:tag w:val="goog_rdk_7"/>
                <w:id w:val="-137889748"/>
              </w:sdtPr>
              <w:sdtEndPr/>
              <w:sdtContent/>
            </w:sdt>
            <w:r w:rsidR="00F62480" w:rsidRPr="003D35B9">
              <w:rPr>
                <w:b/>
              </w:rPr>
              <w:t>Economic</w:t>
            </w:r>
          </w:p>
        </w:tc>
        <w:tc>
          <w:tcPr>
            <w:tcW w:w="1134" w:type="dxa"/>
            <w:tcBorders>
              <w:top w:val="single" w:sz="6" w:space="0" w:color="C1C7CD"/>
              <w:left w:val="single" w:sz="6" w:space="0" w:color="C1C7CD"/>
              <w:bottom w:val="single" w:sz="4" w:space="0" w:color="C1C7CD"/>
              <w:right w:val="single" w:sz="4" w:space="0" w:color="C1C7CD"/>
            </w:tcBorders>
            <w:shd w:val="clear" w:color="auto" w:fill="DEEAF6"/>
            <w:tcMar>
              <w:top w:w="75" w:type="dxa"/>
              <w:left w:w="120" w:type="dxa"/>
              <w:bottom w:w="75" w:type="dxa"/>
              <w:right w:w="120" w:type="dxa"/>
            </w:tcMar>
          </w:tcPr>
          <w:p w14:paraId="000000F1" w14:textId="77777777" w:rsidR="00FB609F" w:rsidRPr="003D35B9" w:rsidRDefault="00FB609F">
            <w:pPr>
              <w:spacing w:after="160" w:line="256" w:lineRule="auto"/>
            </w:pPr>
          </w:p>
        </w:tc>
        <w:tc>
          <w:tcPr>
            <w:tcW w:w="1418" w:type="dxa"/>
            <w:tcBorders>
              <w:top w:val="single" w:sz="6" w:space="0" w:color="C1C7CD"/>
              <w:left w:val="single" w:sz="6" w:space="0" w:color="C1C7CD"/>
              <w:bottom w:val="single" w:sz="4" w:space="0" w:color="C1C7CD"/>
              <w:right w:val="single" w:sz="4" w:space="0" w:color="C1C7CD"/>
            </w:tcBorders>
            <w:shd w:val="clear" w:color="auto" w:fill="DEEAF6"/>
            <w:tcMar>
              <w:top w:w="75" w:type="dxa"/>
              <w:left w:w="120" w:type="dxa"/>
              <w:bottom w:w="75" w:type="dxa"/>
              <w:right w:w="120" w:type="dxa"/>
            </w:tcMar>
          </w:tcPr>
          <w:p w14:paraId="000000F3" w14:textId="77777777" w:rsidR="00FB609F" w:rsidRPr="003D35B9" w:rsidRDefault="00FB609F">
            <w:pPr>
              <w:spacing w:line="256" w:lineRule="auto"/>
              <w:rPr>
                <w:rFonts w:ascii="Calibri" w:eastAsia="Calibri" w:hAnsi="Calibri" w:cs="Calibri"/>
                <w:sz w:val="20"/>
                <w:szCs w:val="20"/>
              </w:rPr>
            </w:pPr>
          </w:p>
        </w:tc>
        <w:tc>
          <w:tcPr>
            <w:tcW w:w="1438" w:type="dxa"/>
            <w:tcBorders>
              <w:top w:val="single" w:sz="6" w:space="0" w:color="C1C7CD"/>
              <w:left w:val="single" w:sz="6" w:space="0" w:color="C1C7CD"/>
              <w:bottom w:val="single" w:sz="4" w:space="0" w:color="C1C7CD"/>
              <w:right w:val="single" w:sz="4" w:space="0" w:color="C1C7CD"/>
            </w:tcBorders>
            <w:shd w:val="clear" w:color="auto" w:fill="DEEAF6"/>
            <w:tcMar>
              <w:top w:w="75" w:type="dxa"/>
              <w:left w:w="120" w:type="dxa"/>
              <w:bottom w:w="75" w:type="dxa"/>
              <w:right w:w="120" w:type="dxa"/>
            </w:tcMar>
          </w:tcPr>
          <w:p w14:paraId="000000F5" w14:textId="77777777" w:rsidR="00FB609F" w:rsidRPr="003D35B9" w:rsidRDefault="00FB609F">
            <w:pPr>
              <w:spacing w:line="256" w:lineRule="auto"/>
              <w:rPr>
                <w:rFonts w:ascii="Calibri" w:eastAsia="Calibri" w:hAnsi="Calibri" w:cs="Calibri"/>
                <w:sz w:val="20"/>
                <w:szCs w:val="20"/>
              </w:rPr>
            </w:pPr>
          </w:p>
        </w:tc>
      </w:tr>
      <w:tr w:rsidR="00FB609F" w:rsidRPr="003D35B9" w14:paraId="12AB8A1E"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F6" w14:textId="77777777" w:rsidR="00FB609F" w:rsidRPr="003D35B9" w:rsidRDefault="00F62480" w:rsidP="00846B53">
            <w:r w:rsidRPr="003D35B9">
              <w:t>costurile desfășurării afacerilor</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0F7" w14:textId="327D2E83" w:rsidR="00FB609F" w:rsidRPr="003D35B9" w:rsidRDefault="00645D5D" w:rsidP="005B76DD">
            <w:pPr>
              <w:spacing w:after="160" w:line="256" w:lineRule="auto"/>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0F9" w14:textId="27F6EF13" w:rsidR="00FB609F" w:rsidRPr="003D35B9" w:rsidRDefault="00FB609F">
            <w:pPr>
              <w:spacing w:line="256" w:lineRule="auto"/>
              <w:rPr>
                <w:rFonts w:ascii="Calibri" w:eastAsia="Calibri" w:hAnsi="Calibri" w:cs="Calibri"/>
                <w:sz w:val="20"/>
                <w:szCs w:val="20"/>
              </w:rPr>
            </w:pP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0FB" w14:textId="77777777" w:rsidR="00FB609F" w:rsidRPr="003D35B9" w:rsidRDefault="00FB609F">
            <w:pPr>
              <w:spacing w:line="256" w:lineRule="auto"/>
              <w:rPr>
                <w:rFonts w:ascii="Calibri" w:eastAsia="Calibri" w:hAnsi="Calibri" w:cs="Calibri"/>
                <w:sz w:val="20"/>
                <w:szCs w:val="20"/>
              </w:rPr>
            </w:pPr>
          </w:p>
        </w:tc>
      </w:tr>
      <w:tr w:rsidR="00FB609F" w:rsidRPr="003D35B9" w14:paraId="59DE5486"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0FC" w14:textId="77777777" w:rsidR="00FB609F" w:rsidRPr="003D35B9" w:rsidRDefault="00F62480" w:rsidP="00846B53">
            <w:r w:rsidRPr="003D35B9">
              <w:t>povara administrativă</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0FD" w14:textId="42FE6045" w:rsidR="00FB609F" w:rsidRPr="003D35B9" w:rsidRDefault="00455FE3" w:rsidP="005B76DD">
            <w:pPr>
              <w:spacing w:after="160" w:line="256" w:lineRule="auto"/>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0FF" w14:textId="473E81B2" w:rsidR="00FB609F" w:rsidRPr="003D35B9" w:rsidRDefault="00FB609F">
            <w:pPr>
              <w:spacing w:line="256" w:lineRule="auto"/>
              <w:rPr>
                <w:rFonts w:ascii="Calibri" w:eastAsia="Calibri" w:hAnsi="Calibri" w:cs="Calibri"/>
                <w:sz w:val="20"/>
                <w:szCs w:val="20"/>
              </w:rPr>
            </w:pP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01" w14:textId="77777777" w:rsidR="00FB609F" w:rsidRPr="003D35B9" w:rsidRDefault="00FB609F">
            <w:pPr>
              <w:spacing w:line="256" w:lineRule="auto"/>
              <w:rPr>
                <w:rFonts w:ascii="Calibri" w:eastAsia="Calibri" w:hAnsi="Calibri" w:cs="Calibri"/>
                <w:sz w:val="20"/>
                <w:szCs w:val="20"/>
              </w:rPr>
            </w:pPr>
          </w:p>
        </w:tc>
      </w:tr>
      <w:tr w:rsidR="00FB609F" w:rsidRPr="003D35B9" w14:paraId="415D784A"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02" w14:textId="77777777" w:rsidR="00FB609F" w:rsidRPr="003D35B9" w:rsidRDefault="00F62480" w:rsidP="00846B53">
            <w:r w:rsidRPr="003D35B9">
              <w:t>fluxurile comerciale și investiționale</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03" w14:textId="51AF21F5" w:rsidR="00FB609F" w:rsidRPr="003D35B9" w:rsidRDefault="002620BE"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05" w14:textId="440262AE"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07" w14:textId="77777777" w:rsidR="00FB609F" w:rsidRPr="003D35B9" w:rsidRDefault="00F62480">
            <w:r w:rsidRPr="003D35B9">
              <w:t> </w:t>
            </w:r>
          </w:p>
        </w:tc>
      </w:tr>
      <w:tr w:rsidR="00FB609F" w:rsidRPr="003D35B9" w14:paraId="39DC8008"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08" w14:textId="77777777" w:rsidR="00FB609F" w:rsidRPr="003D35B9" w:rsidRDefault="00F62480" w:rsidP="00846B53">
            <w:r w:rsidRPr="003D35B9">
              <w:t>competitivitatea afacerilor</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09" w14:textId="278E4EB3" w:rsidR="00FB609F" w:rsidRPr="003D35B9" w:rsidRDefault="003F3558" w:rsidP="005B76DD">
            <w:pPr>
              <w:spacing w:after="160" w:line="256" w:lineRule="auto"/>
              <w:jc w:val="center"/>
            </w:pPr>
            <w:r w:rsidRPr="003D35B9">
              <w:t>+1</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0B" w14:textId="2A907EF6" w:rsidR="00FB609F" w:rsidRPr="003D35B9" w:rsidRDefault="00FB609F">
            <w:pPr>
              <w:spacing w:line="256" w:lineRule="auto"/>
              <w:rPr>
                <w:rFonts w:ascii="Calibri" w:eastAsia="Calibri" w:hAnsi="Calibri" w:cs="Calibri"/>
                <w:sz w:val="20"/>
                <w:szCs w:val="20"/>
              </w:rPr>
            </w:pP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0D" w14:textId="77777777" w:rsidR="00FB609F" w:rsidRPr="003D35B9" w:rsidRDefault="00FB609F">
            <w:pPr>
              <w:spacing w:line="256" w:lineRule="auto"/>
              <w:rPr>
                <w:rFonts w:ascii="Calibri" w:eastAsia="Calibri" w:hAnsi="Calibri" w:cs="Calibri"/>
                <w:sz w:val="20"/>
                <w:szCs w:val="20"/>
              </w:rPr>
            </w:pPr>
          </w:p>
        </w:tc>
      </w:tr>
      <w:tr w:rsidR="00FB609F" w:rsidRPr="003D35B9" w14:paraId="5B2881E1"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0E" w14:textId="77777777" w:rsidR="00FB609F" w:rsidRPr="003D35B9" w:rsidRDefault="00F62480" w:rsidP="00846B53">
            <w:r w:rsidRPr="003D35B9">
              <w:t>activitatea diferitor categorii de întreprinderi mici și mijlocii</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0F" w14:textId="4D687816" w:rsidR="00FB609F" w:rsidRPr="003D35B9" w:rsidRDefault="00455FE3"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11" w14:textId="04635D5E"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13" w14:textId="77777777" w:rsidR="00FB609F" w:rsidRPr="003D35B9" w:rsidRDefault="00FB609F">
            <w:pPr>
              <w:spacing w:after="160" w:line="256" w:lineRule="auto"/>
            </w:pPr>
          </w:p>
        </w:tc>
      </w:tr>
      <w:tr w:rsidR="00FB609F" w:rsidRPr="003D35B9" w14:paraId="3C0B7FD0"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14" w14:textId="77777777" w:rsidR="00FB609F" w:rsidRPr="003D35B9" w:rsidRDefault="00F62480" w:rsidP="00846B53">
            <w:r w:rsidRPr="003F3558">
              <w:t>concurența pe piață</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15" w14:textId="21002E8F" w:rsidR="00FB609F" w:rsidRPr="003D35B9" w:rsidRDefault="00F62480" w:rsidP="00455FE3">
            <w:pPr>
              <w:jc w:val="center"/>
            </w:pPr>
            <w:r w:rsidRPr="003D35B9">
              <w:t>+</w:t>
            </w:r>
            <w:r w:rsidR="00B06F13" w:rsidRPr="003D35B9">
              <w:t>1</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17" w14:textId="730182E3" w:rsidR="00FB609F" w:rsidRPr="003D35B9" w:rsidRDefault="00FB609F">
            <w:pPr>
              <w:spacing w:after="160" w:line="256" w:lineRule="auto"/>
            </w:pP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19" w14:textId="77777777" w:rsidR="00FB609F" w:rsidRPr="003D35B9" w:rsidRDefault="00FB609F">
            <w:pPr>
              <w:spacing w:line="256" w:lineRule="auto"/>
              <w:rPr>
                <w:rFonts w:ascii="Calibri" w:eastAsia="Calibri" w:hAnsi="Calibri" w:cs="Calibri"/>
                <w:sz w:val="20"/>
                <w:szCs w:val="20"/>
              </w:rPr>
            </w:pPr>
          </w:p>
        </w:tc>
      </w:tr>
      <w:tr w:rsidR="00FB609F" w:rsidRPr="003D35B9" w14:paraId="203317B2"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1A" w14:textId="77777777" w:rsidR="00FB609F" w:rsidRPr="003D35B9" w:rsidRDefault="00F62480" w:rsidP="00846B53">
            <w:r w:rsidRPr="003D35B9">
              <w:t>activitatea de inovare și cercetare</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1B" w14:textId="2C427B5D" w:rsidR="00FB609F" w:rsidRPr="003D35B9" w:rsidRDefault="001F1C00" w:rsidP="005B76DD">
            <w:pPr>
              <w:spacing w:after="160" w:line="256" w:lineRule="auto"/>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1D" w14:textId="1C0730F5" w:rsidR="00FB609F" w:rsidRPr="003D35B9" w:rsidRDefault="00FB609F">
            <w:pPr>
              <w:spacing w:line="256" w:lineRule="auto"/>
              <w:rPr>
                <w:rFonts w:ascii="Calibri" w:eastAsia="Calibri" w:hAnsi="Calibri" w:cs="Calibri"/>
                <w:sz w:val="20"/>
                <w:szCs w:val="20"/>
              </w:rPr>
            </w:pP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1F" w14:textId="287ED48C" w:rsidR="00FB609F" w:rsidRPr="003D35B9" w:rsidRDefault="00FB609F">
            <w:pPr>
              <w:spacing w:line="256" w:lineRule="auto"/>
              <w:rPr>
                <w:rFonts w:ascii="Calibri" w:eastAsia="Calibri" w:hAnsi="Calibri" w:cs="Calibri"/>
                <w:sz w:val="20"/>
                <w:szCs w:val="20"/>
              </w:rPr>
            </w:pPr>
          </w:p>
        </w:tc>
      </w:tr>
      <w:tr w:rsidR="00FB609F" w:rsidRPr="003D35B9" w14:paraId="6320C5ED"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20" w14:textId="77777777" w:rsidR="00FB609F" w:rsidRPr="003D35B9" w:rsidRDefault="00F62480" w:rsidP="00846B53">
            <w:r w:rsidRPr="003D35B9">
              <w:t>veniturile și cheltuielile publice</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21" w14:textId="7ED196B1" w:rsidR="00FB609F" w:rsidRPr="003D35B9" w:rsidRDefault="006917F6" w:rsidP="005B76DD">
            <w:pPr>
              <w:spacing w:after="160" w:line="256" w:lineRule="auto"/>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23" w14:textId="5AEDEF75" w:rsidR="00FB609F" w:rsidRPr="003D35B9" w:rsidRDefault="00FB609F">
            <w:pPr>
              <w:spacing w:line="256" w:lineRule="auto"/>
              <w:rPr>
                <w:rFonts w:ascii="Calibri" w:eastAsia="Calibri" w:hAnsi="Calibri" w:cs="Calibri"/>
                <w:sz w:val="20"/>
                <w:szCs w:val="20"/>
              </w:rPr>
            </w:pP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25" w14:textId="24ACB423" w:rsidR="00FB609F" w:rsidRPr="003D35B9" w:rsidRDefault="00FB609F">
            <w:pPr>
              <w:spacing w:line="256" w:lineRule="auto"/>
              <w:rPr>
                <w:rFonts w:ascii="Calibri" w:eastAsia="Calibri" w:hAnsi="Calibri" w:cs="Calibri"/>
                <w:sz w:val="20"/>
                <w:szCs w:val="20"/>
              </w:rPr>
            </w:pPr>
          </w:p>
        </w:tc>
      </w:tr>
      <w:tr w:rsidR="00FB609F" w:rsidRPr="003D35B9" w14:paraId="7B561320"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26" w14:textId="77777777" w:rsidR="00FB609F" w:rsidRPr="003D35B9" w:rsidRDefault="00F62480" w:rsidP="00846B53">
            <w:r w:rsidRPr="003D35B9">
              <w:t>cadrul instituțional al autorităților publice</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27" w14:textId="471DB400" w:rsidR="00FB609F" w:rsidRPr="003D35B9" w:rsidRDefault="003F3558" w:rsidP="005B76DD">
            <w:pPr>
              <w:spacing w:after="160" w:line="256" w:lineRule="auto"/>
              <w:jc w:val="center"/>
            </w:pPr>
            <w:r w:rsidRPr="003D35B9">
              <w:t>+1</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29" w14:textId="71C69AFD" w:rsidR="00FB609F" w:rsidRPr="003D35B9" w:rsidRDefault="00FB609F">
            <w:pPr>
              <w:spacing w:line="256" w:lineRule="auto"/>
              <w:rPr>
                <w:rFonts w:ascii="Calibri" w:eastAsia="Calibri" w:hAnsi="Calibri" w:cs="Calibri"/>
                <w:sz w:val="20"/>
                <w:szCs w:val="20"/>
              </w:rPr>
            </w:pP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2B" w14:textId="10875BD0" w:rsidR="00FB609F" w:rsidRPr="003D35B9" w:rsidRDefault="00FB609F">
            <w:pPr>
              <w:spacing w:line="256" w:lineRule="auto"/>
              <w:rPr>
                <w:rFonts w:ascii="Calibri" w:eastAsia="Calibri" w:hAnsi="Calibri" w:cs="Calibri"/>
                <w:sz w:val="20"/>
                <w:szCs w:val="20"/>
              </w:rPr>
            </w:pPr>
          </w:p>
        </w:tc>
      </w:tr>
      <w:tr w:rsidR="00FB609F" w:rsidRPr="003D35B9" w14:paraId="3028A065"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2C" w14:textId="77777777" w:rsidR="00FB609F" w:rsidRPr="003D35B9" w:rsidRDefault="00F62480" w:rsidP="00846B53">
            <w:r w:rsidRPr="003D35B9">
              <w:t>alegerea, calitatea și prețurile pentru consumatori</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2D" w14:textId="1CB1F93C" w:rsidR="00FB609F" w:rsidRPr="003D35B9" w:rsidRDefault="002620BE"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2F" w14:textId="1B207FA1" w:rsidR="00FB609F" w:rsidRPr="003D35B9" w:rsidRDefault="00FB609F">
            <w:pPr>
              <w:spacing w:after="160" w:line="256" w:lineRule="auto"/>
            </w:pP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31" w14:textId="77777777" w:rsidR="00FB609F" w:rsidRPr="003D35B9" w:rsidRDefault="00FB609F">
            <w:pPr>
              <w:spacing w:line="256" w:lineRule="auto"/>
              <w:rPr>
                <w:rFonts w:ascii="Calibri" w:eastAsia="Calibri" w:hAnsi="Calibri" w:cs="Calibri"/>
                <w:sz w:val="20"/>
                <w:szCs w:val="20"/>
              </w:rPr>
            </w:pPr>
          </w:p>
        </w:tc>
      </w:tr>
      <w:tr w:rsidR="00FB609F" w:rsidRPr="003D35B9" w14:paraId="219E2094"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32" w14:textId="77777777" w:rsidR="00FB609F" w:rsidRPr="003D35B9" w:rsidRDefault="00F62480" w:rsidP="00846B53">
            <w:r w:rsidRPr="003F3558">
              <w:t>bunăstarea gospodăriilor casnice și a cetățenilor</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33" w14:textId="5DC64801" w:rsidR="00FB609F" w:rsidRPr="003D35B9" w:rsidRDefault="002620BE" w:rsidP="005B76DD">
            <w:pPr>
              <w:spacing w:after="160" w:line="256" w:lineRule="auto"/>
              <w:jc w:val="center"/>
            </w:pPr>
            <w:r w:rsidRPr="003D35B9">
              <w:t>+2</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35" w14:textId="48CCF757" w:rsidR="00FB609F" w:rsidRPr="003D35B9" w:rsidRDefault="00FB609F">
            <w:pPr>
              <w:spacing w:line="256" w:lineRule="auto"/>
              <w:rPr>
                <w:rFonts w:ascii="Calibri" w:eastAsia="Calibri" w:hAnsi="Calibri" w:cs="Calibri"/>
                <w:sz w:val="20"/>
                <w:szCs w:val="20"/>
              </w:rPr>
            </w:pP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37" w14:textId="77777777" w:rsidR="00FB609F" w:rsidRPr="003D35B9" w:rsidRDefault="00FB609F">
            <w:pPr>
              <w:spacing w:line="256" w:lineRule="auto"/>
              <w:rPr>
                <w:rFonts w:ascii="Calibri" w:eastAsia="Calibri" w:hAnsi="Calibri" w:cs="Calibri"/>
                <w:sz w:val="20"/>
                <w:szCs w:val="20"/>
              </w:rPr>
            </w:pPr>
          </w:p>
        </w:tc>
      </w:tr>
      <w:tr w:rsidR="00FB609F" w:rsidRPr="003D35B9" w14:paraId="4A549818"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38" w14:textId="77777777" w:rsidR="00FB609F" w:rsidRPr="003D35B9" w:rsidRDefault="00F62480" w:rsidP="00846B53">
            <w:r w:rsidRPr="003D35B9">
              <w:t>situația social-economică în anumite regiuni</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39" w14:textId="0A8912A7" w:rsidR="00FB609F" w:rsidRPr="003D35B9" w:rsidRDefault="002620BE" w:rsidP="005B76DD">
            <w:pPr>
              <w:spacing w:after="160" w:line="256" w:lineRule="auto"/>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3B" w14:textId="7A3992C1" w:rsidR="00FB609F" w:rsidRPr="003D35B9" w:rsidRDefault="00FB609F">
            <w:pPr>
              <w:spacing w:line="256" w:lineRule="auto"/>
              <w:rPr>
                <w:rFonts w:ascii="Calibri" w:eastAsia="Calibri" w:hAnsi="Calibri" w:cs="Calibri"/>
                <w:sz w:val="20"/>
                <w:szCs w:val="20"/>
              </w:rPr>
            </w:pP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3D" w14:textId="7B4FC0EC" w:rsidR="00FB609F" w:rsidRPr="003D35B9" w:rsidRDefault="00FB609F">
            <w:pPr>
              <w:spacing w:line="256" w:lineRule="auto"/>
              <w:rPr>
                <w:rFonts w:ascii="Calibri" w:eastAsia="Calibri" w:hAnsi="Calibri" w:cs="Calibri"/>
                <w:sz w:val="20"/>
                <w:szCs w:val="20"/>
              </w:rPr>
            </w:pPr>
          </w:p>
        </w:tc>
      </w:tr>
      <w:tr w:rsidR="00FB609F" w:rsidRPr="003D35B9" w14:paraId="2A5BB1C1"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3E" w14:textId="77777777" w:rsidR="00FB609F" w:rsidRPr="003D35B9" w:rsidRDefault="00F62480" w:rsidP="00846B53">
            <w:r w:rsidRPr="003D35B9">
              <w:t>situația macroeconomică</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3F" w14:textId="12881D09" w:rsidR="00FB609F" w:rsidRPr="003D35B9" w:rsidRDefault="002620BE"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41" w14:textId="0DBFE144"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43" w14:textId="77777777" w:rsidR="00FB609F" w:rsidRPr="003D35B9" w:rsidRDefault="00FB609F">
            <w:pPr>
              <w:spacing w:after="160" w:line="256" w:lineRule="auto"/>
            </w:pPr>
          </w:p>
        </w:tc>
      </w:tr>
      <w:tr w:rsidR="00FB609F" w:rsidRPr="003D35B9" w14:paraId="1ABEF535"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44" w14:textId="77777777" w:rsidR="00FB609F" w:rsidRPr="003D35B9" w:rsidRDefault="00F62480" w:rsidP="00846B53">
            <w:r w:rsidRPr="003D35B9">
              <w:t>alte aspecte economice</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45" w14:textId="75559C50" w:rsidR="00FB609F" w:rsidRPr="003D35B9" w:rsidRDefault="006917F6" w:rsidP="005B76DD">
            <w:pPr>
              <w:spacing w:after="160" w:line="256" w:lineRule="auto"/>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47" w14:textId="15319797" w:rsidR="00FB609F" w:rsidRPr="003D35B9" w:rsidRDefault="00FB609F">
            <w:pPr>
              <w:spacing w:line="256" w:lineRule="auto"/>
              <w:rPr>
                <w:rFonts w:ascii="Calibri" w:eastAsia="Calibri" w:hAnsi="Calibri" w:cs="Calibri"/>
                <w:sz w:val="20"/>
                <w:szCs w:val="20"/>
              </w:rPr>
            </w:pP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49" w14:textId="3DA9062F" w:rsidR="00FB609F" w:rsidRPr="003D35B9" w:rsidRDefault="00FB609F">
            <w:pPr>
              <w:spacing w:line="256" w:lineRule="auto"/>
              <w:rPr>
                <w:rFonts w:ascii="Calibri" w:eastAsia="Calibri" w:hAnsi="Calibri" w:cs="Calibri"/>
                <w:sz w:val="20"/>
                <w:szCs w:val="20"/>
              </w:rPr>
            </w:pPr>
          </w:p>
        </w:tc>
      </w:tr>
      <w:tr w:rsidR="00FB609F" w:rsidRPr="003D35B9" w14:paraId="2AD1BFA8" w14:textId="77777777" w:rsidTr="00B02114">
        <w:tc>
          <w:tcPr>
            <w:tcW w:w="5654" w:type="dxa"/>
            <w:tcBorders>
              <w:top w:val="single" w:sz="6" w:space="0" w:color="C1C7CD"/>
              <w:left w:val="single" w:sz="4" w:space="0" w:color="C1C7CD"/>
              <w:bottom w:val="single" w:sz="4" w:space="0" w:color="C1C7CD"/>
              <w:right w:val="single" w:sz="4" w:space="0" w:color="C1C7CD"/>
            </w:tcBorders>
            <w:shd w:val="clear" w:color="auto" w:fill="DEEAF6"/>
            <w:tcMar>
              <w:top w:w="75" w:type="dxa"/>
              <w:left w:w="120" w:type="dxa"/>
              <w:bottom w:w="75" w:type="dxa"/>
              <w:right w:w="120" w:type="dxa"/>
            </w:tcMar>
          </w:tcPr>
          <w:p w14:paraId="0000014A" w14:textId="77777777" w:rsidR="00FB609F" w:rsidRPr="003D35B9" w:rsidRDefault="00F62480" w:rsidP="00846B53">
            <w:r w:rsidRPr="003D35B9">
              <w:rPr>
                <w:b/>
              </w:rPr>
              <w:t>Social</w:t>
            </w:r>
          </w:p>
        </w:tc>
        <w:tc>
          <w:tcPr>
            <w:tcW w:w="1134" w:type="dxa"/>
            <w:tcBorders>
              <w:top w:val="single" w:sz="6" w:space="0" w:color="C1C7CD"/>
              <w:left w:val="single" w:sz="6" w:space="0" w:color="C1C7CD"/>
              <w:bottom w:val="single" w:sz="4" w:space="0" w:color="C1C7CD"/>
              <w:right w:val="single" w:sz="4" w:space="0" w:color="C1C7CD"/>
            </w:tcBorders>
            <w:shd w:val="clear" w:color="auto" w:fill="DEEAF6"/>
            <w:tcMar>
              <w:top w:w="75" w:type="dxa"/>
              <w:left w:w="120" w:type="dxa"/>
              <w:bottom w:w="75" w:type="dxa"/>
              <w:right w:w="120" w:type="dxa"/>
            </w:tcMar>
          </w:tcPr>
          <w:p w14:paraId="0000014B" w14:textId="77777777" w:rsidR="00FB609F" w:rsidRPr="003D35B9" w:rsidRDefault="00FB609F" w:rsidP="005B76DD">
            <w:pPr>
              <w:spacing w:after="160" w:line="256" w:lineRule="auto"/>
              <w:jc w:val="center"/>
            </w:pPr>
          </w:p>
        </w:tc>
        <w:tc>
          <w:tcPr>
            <w:tcW w:w="1418" w:type="dxa"/>
            <w:tcBorders>
              <w:top w:val="single" w:sz="6" w:space="0" w:color="C1C7CD"/>
              <w:left w:val="single" w:sz="6" w:space="0" w:color="C1C7CD"/>
              <w:bottom w:val="single" w:sz="4" w:space="0" w:color="C1C7CD"/>
              <w:right w:val="single" w:sz="4" w:space="0" w:color="C1C7CD"/>
            </w:tcBorders>
            <w:shd w:val="clear" w:color="auto" w:fill="DEEAF6"/>
            <w:tcMar>
              <w:top w:w="75" w:type="dxa"/>
              <w:left w:w="120" w:type="dxa"/>
              <w:bottom w:w="75" w:type="dxa"/>
              <w:right w:w="120" w:type="dxa"/>
            </w:tcMar>
          </w:tcPr>
          <w:p w14:paraId="0000014D" w14:textId="77777777" w:rsidR="00FB609F" w:rsidRPr="003D35B9" w:rsidRDefault="00FB609F">
            <w:pPr>
              <w:spacing w:line="256" w:lineRule="auto"/>
              <w:rPr>
                <w:rFonts w:ascii="Calibri" w:eastAsia="Calibri" w:hAnsi="Calibri" w:cs="Calibri"/>
                <w:sz w:val="20"/>
                <w:szCs w:val="20"/>
              </w:rPr>
            </w:pPr>
          </w:p>
        </w:tc>
        <w:tc>
          <w:tcPr>
            <w:tcW w:w="1438" w:type="dxa"/>
            <w:tcBorders>
              <w:top w:val="single" w:sz="6" w:space="0" w:color="C1C7CD"/>
              <w:left w:val="single" w:sz="6" w:space="0" w:color="C1C7CD"/>
              <w:bottom w:val="single" w:sz="4" w:space="0" w:color="C1C7CD"/>
              <w:right w:val="single" w:sz="4" w:space="0" w:color="C1C7CD"/>
            </w:tcBorders>
            <w:shd w:val="clear" w:color="auto" w:fill="DEEAF6"/>
            <w:tcMar>
              <w:top w:w="75" w:type="dxa"/>
              <w:left w:w="120" w:type="dxa"/>
              <w:bottom w:w="75" w:type="dxa"/>
              <w:right w:w="120" w:type="dxa"/>
            </w:tcMar>
          </w:tcPr>
          <w:p w14:paraId="0000014F" w14:textId="77777777" w:rsidR="00FB609F" w:rsidRPr="003D35B9" w:rsidRDefault="00FB609F">
            <w:pPr>
              <w:spacing w:line="256" w:lineRule="auto"/>
              <w:rPr>
                <w:rFonts w:ascii="Calibri" w:eastAsia="Calibri" w:hAnsi="Calibri" w:cs="Calibri"/>
                <w:sz w:val="20"/>
                <w:szCs w:val="20"/>
              </w:rPr>
            </w:pPr>
          </w:p>
        </w:tc>
      </w:tr>
      <w:tr w:rsidR="00FB609F" w:rsidRPr="003D35B9" w14:paraId="4BB25BDC"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50" w14:textId="77777777" w:rsidR="00FB609F" w:rsidRPr="003D35B9" w:rsidRDefault="00F62480" w:rsidP="00846B53">
            <w:r w:rsidRPr="003D35B9">
              <w:t>gradul de ocupare a forței de muncă</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51" w14:textId="5CFC2399" w:rsidR="00FB609F" w:rsidRPr="003D35B9" w:rsidRDefault="00B80884"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53" w14:textId="65426EE3"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55" w14:textId="77777777" w:rsidR="00FB609F" w:rsidRPr="003D35B9" w:rsidRDefault="00FB609F">
            <w:pPr>
              <w:spacing w:after="160" w:line="256" w:lineRule="auto"/>
            </w:pPr>
          </w:p>
        </w:tc>
      </w:tr>
      <w:tr w:rsidR="00FB609F" w:rsidRPr="003D35B9" w14:paraId="147AD9DF"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56" w14:textId="77777777" w:rsidR="00FB609F" w:rsidRPr="003D35B9" w:rsidRDefault="00F62480" w:rsidP="00846B53">
            <w:r w:rsidRPr="003D35B9">
              <w:t>nivelul de salarizare</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57" w14:textId="414A36BF" w:rsidR="00FB609F" w:rsidRPr="003D35B9" w:rsidRDefault="00B80884"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59" w14:textId="40A4F7D2"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5B" w14:textId="77777777" w:rsidR="00FB609F" w:rsidRPr="003D35B9" w:rsidRDefault="00F62480">
            <w:r w:rsidRPr="003D35B9">
              <w:t> </w:t>
            </w:r>
          </w:p>
        </w:tc>
      </w:tr>
      <w:tr w:rsidR="00FB609F" w:rsidRPr="003D35B9" w14:paraId="4804F669"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5C" w14:textId="77777777" w:rsidR="00FB609F" w:rsidRPr="003D35B9" w:rsidRDefault="00F62480" w:rsidP="00846B53">
            <w:r w:rsidRPr="003D35B9">
              <w:t>condițiile și organizarea muncii</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5D" w14:textId="7076EA6C"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5F" w14:textId="13C408B6"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61" w14:textId="77777777" w:rsidR="00FB609F" w:rsidRPr="003D35B9" w:rsidRDefault="00F62480">
            <w:r w:rsidRPr="003D35B9">
              <w:t> </w:t>
            </w:r>
          </w:p>
        </w:tc>
      </w:tr>
      <w:tr w:rsidR="00FB609F" w:rsidRPr="003D35B9" w14:paraId="016DEF0B"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62" w14:textId="77777777" w:rsidR="00FB609F" w:rsidRPr="003D35B9" w:rsidRDefault="00F62480" w:rsidP="00846B53">
            <w:r w:rsidRPr="002B2257">
              <w:t>sănătatea și securitatea muncii</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63" w14:textId="13529D16" w:rsidR="00FB609F" w:rsidRPr="003D35B9" w:rsidRDefault="00404907" w:rsidP="005B76DD">
            <w:pPr>
              <w:jc w:val="center"/>
            </w:pPr>
            <w:r w:rsidRPr="003D35B9">
              <w:t>+2</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65" w14:textId="628EE44A"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67" w14:textId="77777777" w:rsidR="00FB609F" w:rsidRPr="003D35B9" w:rsidRDefault="00F62480">
            <w:r w:rsidRPr="003D35B9">
              <w:t> </w:t>
            </w:r>
          </w:p>
        </w:tc>
      </w:tr>
      <w:tr w:rsidR="00FB609F" w:rsidRPr="003D35B9" w14:paraId="717824C0"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68" w14:textId="77777777" w:rsidR="00FB609F" w:rsidRPr="003D35B9" w:rsidRDefault="00F62480" w:rsidP="00846B53">
            <w:r w:rsidRPr="003D35B9">
              <w:t>formarea profesională</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69" w14:textId="3266C60E" w:rsidR="00FB609F" w:rsidRPr="003D35B9" w:rsidRDefault="002B2257" w:rsidP="005B76DD">
            <w:pPr>
              <w:jc w:val="center"/>
            </w:pPr>
            <w:r>
              <w:t>+1</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6B" w14:textId="1ED8D13D"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6D" w14:textId="77777777" w:rsidR="00FB609F" w:rsidRPr="003D35B9" w:rsidRDefault="00F62480">
            <w:r w:rsidRPr="003D35B9">
              <w:t> </w:t>
            </w:r>
          </w:p>
        </w:tc>
      </w:tr>
      <w:tr w:rsidR="00FB609F" w:rsidRPr="003D35B9" w14:paraId="2926DCF4"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6E" w14:textId="77777777" w:rsidR="00FB609F" w:rsidRPr="003D35B9" w:rsidRDefault="00F62480" w:rsidP="00846B53">
            <w:r w:rsidRPr="003D35B9">
              <w:lastRenderedPageBreak/>
              <w:t>inegalitatea și distribuția veniturilor</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6F" w14:textId="6F472E0C" w:rsidR="00FB609F" w:rsidRPr="003D35B9" w:rsidRDefault="00B80884"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71" w14:textId="7EDFC947"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73" w14:textId="77777777" w:rsidR="00FB609F" w:rsidRPr="003D35B9" w:rsidRDefault="00F62480">
            <w:r w:rsidRPr="003D35B9">
              <w:t> </w:t>
            </w:r>
          </w:p>
        </w:tc>
      </w:tr>
      <w:tr w:rsidR="00FB609F" w:rsidRPr="003D35B9" w14:paraId="52F73DC1"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74" w14:textId="77777777" w:rsidR="00FB609F" w:rsidRPr="003D35B9" w:rsidRDefault="00F62480" w:rsidP="00846B53">
            <w:r w:rsidRPr="003D35B9">
              <w:t>nivelul veniturilor populației</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75" w14:textId="7CF1B007"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77" w14:textId="6A39AADE"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79" w14:textId="77777777" w:rsidR="00FB609F" w:rsidRPr="003D35B9" w:rsidRDefault="00F62480">
            <w:r w:rsidRPr="003D35B9">
              <w:t> </w:t>
            </w:r>
          </w:p>
        </w:tc>
      </w:tr>
      <w:tr w:rsidR="00FB609F" w:rsidRPr="003D35B9" w14:paraId="7208E908"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7A" w14:textId="77777777" w:rsidR="00FB609F" w:rsidRPr="003D35B9" w:rsidRDefault="00F62480" w:rsidP="00846B53">
            <w:r w:rsidRPr="003D35B9">
              <w:t>nivelul sărăciei</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7B" w14:textId="5ACFA767" w:rsidR="00FB609F" w:rsidRPr="003D35B9" w:rsidRDefault="00B80884"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7D" w14:textId="415CED13"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7F" w14:textId="77777777" w:rsidR="00FB609F" w:rsidRPr="003D35B9" w:rsidRDefault="00F62480">
            <w:r w:rsidRPr="003D35B9">
              <w:t> </w:t>
            </w:r>
          </w:p>
        </w:tc>
      </w:tr>
      <w:tr w:rsidR="00FB609F" w:rsidRPr="003D35B9" w14:paraId="5AE0C287"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80" w14:textId="77777777" w:rsidR="00FB609F" w:rsidRPr="003D35B9" w:rsidRDefault="00F62480" w:rsidP="00846B53">
            <w:r w:rsidRPr="003D35B9">
              <w:t>accesul la bunuri și servicii de bază, în special pentru persoanele social-vulnerabile</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81" w14:textId="3C5365A9" w:rsidR="00FB609F" w:rsidRPr="003D35B9" w:rsidRDefault="002B2257" w:rsidP="005B76DD">
            <w:pPr>
              <w:jc w:val="center"/>
            </w:pPr>
            <w:r>
              <w:t>+2</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83" w14:textId="24FFD75B"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85" w14:textId="77777777" w:rsidR="00FB609F" w:rsidRPr="003D35B9" w:rsidRDefault="00F62480">
            <w:r w:rsidRPr="003D35B9">
              <w:t> </w:t>
            </w:r>
          </w:p>
        </w:tc>
      </w:tr>
      <w:tr w:rsidR="00FB609F" w:rsidRPr="003D35B9" w14:paraId="7B93A129"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86" w14:textId="77777777" w:rsidR="00FB609F" w:rsidRPr="003D35B9" w:rsidRDefault="00F62480" w:rsidP="00846B53">
            <w:r w:rsidRPr="003D35B9">
              <w:t>diversitatea culturală și lingvistică</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87" w14:textId="65272472"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89" w14:textId="77777777" w:rsidR="00FB609F" w:rsidRPr="003D35B9" w:rsidRDefault="00F62480">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8B" w14:textId="77777777" w:rsidR="00FB609F" w:rsidRPr="003D35B9" w:rsidRDefault="00F62480">
            <w:r w:rsidRPr="003D35B9">
              <w:t> </w:t>
            </w:r>
          </w:p>
        </w:tc>
      </w:tr>
      <w:tr w:rsidR="00FB609F" w:rsidRPr="003D35B9" w14:paraId="699AA637"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8C" w14:textId="77777777" w:rsidR="00FB609F" w:rsidRPr="003D35B9" w:rsidRDefault="00F62480" w:rsidP="00846B53">
            <w:r w:rsidRPr="003D35B9">
              <w:t>partidele politice și organizațiile civice</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8D" w14:textId="29AE0A99"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8F" w14:textId="77777777" w:rsidR="00FB609F" w:rsidRPr="003D35B9" w:rsidRDefault="00F62480">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91" w14:textId="77777777" w:rsidR="00FB609F" w:rsidRPr="003D35B9" w:rsidRDefault="00F62480">
            <w:r w:rsidRPr="003D35B9">
              <w:t> </w:t>
            </w:r>
          </w:p>
        </w:tc>
      </w:tr>
      <w:tr w:rsidR="00FB609F" w:rsidRPr="003D35B9" w14:paraId="6CE783CA"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92" w14:textId="77777777" w:rsidR="00FB609F" w:rsidRPr="003D35B9" w:rsidRDefault="00F62480" w:rsidP="00846B53">
            <w:r w:rsidRPr="003D35B9">
              <w:t>sănătatea publică, inclusiv mortalitatea și morbiditatea</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93" w14:textId="14D9599D"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95" w14:textId="77777777" w:rsidR="00FB609F" w:rsidRPr="003D35B9" w:rsidRDefault="00F62480">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97" w14:textId="77777777" w:rsidR="00FB609F" w:rsidRPr="003D35B9" w:rsidRDefault="00F62480">
            <w:r w:rsidRPr="003D35B9">
              <w:t> </w:t>
            </w:r>
          </w:p>
        </w:tc>
      </w:tr>
      <w:tr w:rsidR="00FB609F" w:rsidRPr="003D35B9" w14:paraId="08B7C73C"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98" w14:textId="77777777" w:rsidR="00FB609F" w:rsidRPr="003D35B9" w:rsidRDefault="00F62480" w:rsidP="00846B53">
            <w:r w:rsidRPr="003D35B9">
              <w:t>modul sănătos de viață al populației</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99" w14:textId="714FA131"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9B" w14:textId="77777777" w:rsidR="00FB609F" w:rsidRPr="003D35B9" w:rsidRDefault="00F62480">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9D" w14:textId="77777777" w:rsidR="00FB609F" w:rsidRPr="003D35B9" w:rsidRDefault="00F62480">
            <w:r w:rsidRPr="003D35B9">
              <w:t> </w:t>
            </w:r>
          </w:p>
        </w:tc>
      </w:tr>
      <w:tr w:rsidR="00FB609F" w:rsidRPr="003D35B9" w14:paraId="0D62FD2D"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9E" w14:textId="77777777" w:rsidR="00FB609F" w:rsidRPr="003D35B9" w:rsidRDefault="00F62480" w:rsidP="00846B53">
            <w:r w:rsidRPr="003D35B9">
              <w:t>nivelul criminalității și securității publice</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9F" w14:textId="59C9C804" w:rsidR="00FB609F" w:rsidRPr="003D35B9" w:rsidRDefault="001528DF" w:rsidP="005B76DD">
            <w:pPr>
              <w:jc w:val="center"/>
            </w:pPr>
            <w:r>
              <w:t>+1</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A1" w14:textId="77777777" w:rsidR="00FB609F" w:rsidRPr="003D35B9" w:rsidRDefault="00F62480">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A3" w14:textId="77777777" w:rsidR="00FB609F" w:rsidRPr="003D35B9" w:rsidRDefault="00F62480">
            <w:r w:rsidRPr="003D35B9">
              <w:t> </w:t>
            </w:r>
          </w:p>
        </w:tc>
      </w:tr>
      <w:tr w:rsidR="00FB609F" w:rsidRPr="003D35B9" w14:paraId="2997598D"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A4" w14:textId="77777777" w:rsidR="00FB609F" w:rsidRPr="003D35B9" w:rsidRDefault="00F62480" w:rsidP="00846B53">
            <w:r w:rsidRPr="003D35B9">
              <w:t>accesul și calitatea serviciilor de protecție socială</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A5" w14:textId="54E69013"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A7" w14:textId="77777777" w:rsidR="00FB609F" w:rsidRPr="003D35B9" w:rsidRDefault="00F62480">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A9" w14:textId="77777777" w:rsidR="00FB609F" w:rsidRPr="003D35B9" w:rsidRDefault="00F62480">
            <w:r w:rsidRPr="003D35B9">
              <w:t> </w:t>
            </w:r>
          </w:p>
        </w:tc>
      </w:tr>
      <w:tr w:rsidR="00FB609F" w:rsidRPr="003D35B9" w14:paraId="2E534486"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AA" w14:textId="77777777" w:rsidR="00FB609F" w:rsidRPr="003D35B9" w:rsidRDefault="00F62480" w:rsidP="00846B53">
            <w:r w:rsidRPr="003D35B9">
              <w:t>accesul și calitatea serviciilor educaționale</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AB" w14:textId="2C3210C1"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AD" w14:textId="77777777" w:rsidR="00FB609F" w:rsidRPr="003D35B9" w:rsidRDefault="00F62480">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AF" w14:textId="77777777" w:rsidR="00FB609F" w:rsidRPr="003D35B9" w:rsidRDefault="00F62480">
            <w:r w:rsidRPr="003D35B9">
              <w:t> </w:t>
            </w:r>
          </w:p>
        </w:tc>
      </w:tr>
      <w:tr w:rsidR="00FB609F" w:rsidRPr="003D35B9" w14:paraId="4B789B66"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B0" w14:textId="77777777" w:rsidR="00FB609F" w:rsidRPr="003D35B9" w:rsidRDefault="00F62480" w:rsidP="00846B53">
            <w:r w:rsidRPr="003D35B9">
              <w:t>accesul și calitatea serviciilor medicale</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B1" w14:textId="17B98C84"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B3" w14:textId="77777777" w:rsidR="00FB609F" w:rsidRPr="003D35B9" w:rsidRDefault="00F62480">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B5" w14:textId="77777777" w:rsidR="00FB609F" w:rsidRPr="003D35B9" w:rsidRDefault="00F62480">
            <w:r w:rsidRPr="003D35B9">
              <w:t> </w:t>
            </w:r>
          </w:p>
        </w:tc>
      </w:tr>
      <w:tr w:rsidR="00FB609F" w:rsidRPr="003D35B9" w14:paraId="6CEE8646"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B6" w14:textId="77777777" w:rsidR="00FB609F" w:rsidRPr="003D35B9" w:rsidRDefault="00F62480" w:rsidP="00846B53">
            <w:r w:rsidRPr="003D35B9">
              <w:t>accesul și calitatea serviciilor publice administrative</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B7" w14:textId="0F3A7F63" w:rsidR="00FB609F" w:rsidRPr="003D35B9" w:rsidRDefault="001528DF" w:rsidP="005B76DD">
            <w:pPr>
              <w:jc w:val="center"/>
            </w:pPr>
            <w:r>
              <w:t>+1</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B9" w14:textId="77777777" w:rsidR="00FB609F" w:rsidRPr="003D35B9" w:rsidRDefault="00F62480">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BB" w14:textId="77777777" w:rsidR="00FB609F" w:rsidRPr="003D35B9" w:rsidRDefault="00F62480">
            <w:r w:rsidRPr="003D35B9">
              <w:t> </w:t>
            </w:r>
          </w:p>
        </w:tc>
      </w:tr>
      <w:tr w:rsidR="00FB609F" w:rsidRPr="003D35B9" w14:paraId="15A20CB1"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BC" w14:textId="77777777" w:rsidR="00FB609F" w:rsidRPr="003D35B9" w:rsidRDefault="00F62480" w:rsidP="00846B53">
            <w:r w:rsidRPr="003D35B9">
              <w:t>nivelul și calitatea educației populației</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BD" w14:textId="58A44F3A"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BF" w14:textId="77777777" w:rsidR="00FB609F" w:rsidRPr="003D35B9" w:rsidRDefault="00F62480">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C1" w14:textId="77777777" w:rsidR="00FB609F" w:rsidRPr="003D35B9" w:rsidRDefault="00F62480">
            <w:r w:rsidRPr="003D35B9">
              <w:t> </w:t>
            </w:r>
          </w:p>
        </w:tc>
      </w:tr>
      <w:tr w:rsidR="00FB609F" w:rsidRPr="003D35B9" w14:paraId="04CD8D17"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C2" w14:textId="77777777" w:rsidR="00FB609F" w:rsidRPr="003D35B9" w:rsidRDefault="00F62480" w:rsidP="00846B53">
            <w:r w:rsidRPr="003D35B9">
              <w:t>conservarea patrimoniului cultural</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C3" w14:textId="32804FD1"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C5" w14:textId="77777777" w:rsidR="00FB609F" w:rsidRPr="003D35B9" w:rsidRDefault="00F62480">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C7" w14:textId="77777777" w:rsidR="00FB609F" w:rsidRPr="003D35B9" w:rsidRDefault="00F62480">
            <w:r w:rsidRPr="003D35B9">
              <w:t> </w:t>
            </w:r>
          </w:p>
        </w:tc>
      </w:tr>
      <w:tr w:rsidR="00FB609F" w:rsidRPr="003D35B9" w14:paraId="5CAA53F7"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C8" w14:textId="77777777" w:rsidR="00FB609F" w:rsidRPr="003D35B9" w:rsidRDefault="00F62480" w:rsidP="00846B53">
            <w:r w:rsidRPr="003D35B9">
              <w:t>accesul populației la resurse culturale și participarea în manifestații culturale</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C9" w14:textId="7F82E667"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CB" w14:textId="77777777" w:rsidR="00FB609F" w:rsidRPr="003D35B9" w:rsidRDefault="00F62480">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CD" w14:textId="77777777" w:rsidR="00FB609F" w:rsidRPr="003D35B9" w:rsidRDefault="00F62480">
            <w:r w:rsidRPr="003D35B9">
              <w:t> </w:t>
            </w:r>
          </w:p>
        </w:tc>
      </w:tr>
      <w:tr w:rsidR="00FB609F" w:rsidRPr="003D35B9" w14:paraId="0D6415CE"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CE" w14:textId="77777777" w:rsidR="00FB609F" w:rsidRPr="003D35B9" w:rsidRDefault="00F62480" w:rsidP="00846B53">
            <w:r w:rsidRPr="003D35B9">
              <w:t>accesul și participarea populației în activități sportive</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CF" w14:textId="5BCE09AF"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D1" w14:textId="77777777" w:rsidR="00FB609F" w:rsidRPr="003D35B9" w:rsidRDefault="00F62480">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D3" w14:textId="77777777" w:rsidR="00FB609F" w:rsidRPr="003D35B9" w:rsidRDefault="00F62480">
            <w:r w:rsidRPr="003D35B9">
              <w:t> </w:t>
            </w:r>
          </w:p>
        </w:tc>
      </w:tr>
      <w:tr w:rsidR="00FB609F" w:rsidRPr="003D35B9" w14:paraId="53A548F7"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D4" w14:textId="77777777" w:rsidR="00FB609F" w:rsidRPr="003D35B9" w:rsidRDefault="00F62480" w:rsidP="00846B53">
            <w:r w:rsidRPr="003D35B9">
              <w:t>discriminarea</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D5" w14:textId="47FE8E0E" w:rsidR="00FB609F" w:rsidRPr="003D35B9" w:rsidRDefault="006113CA" w:rsidP="005B76DD">
            <w:pPr>
              <w:jc w:val="center"/>
            </w:pPr>
            <w:r>
              <w:t>+1</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D7" w14:textId="77777777" w:rsidR="00FB609F" w:rsidRPr="003D35B9" w:rsidRDefault="00F62480">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D9" w14:textId="77777777" w:rsidR="00FB609F" w:rsidRPr="003D35B9" w:rsidRDefault="00F62480">
            <w:r w:rsidRPr="003D35B9">
              <w:t> </w:t>
            </w:r>
          </w:p>
        </w:tc>
      </w:tr>
      <w:tr w:rsidR="00FB609F" w:rsidRPr="003D35B9" w14:paraId="06ED105D"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DA" w14:textId="77777777" w:rsidR="00FB609F" w:rsidRPr="003D35B9" w:rsidRDefault="00F62480" w:rsidP="00846B53">
            <w:r w:rsidRPr="003D35B9">
              <w:t>alte aspecte sociale</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DB" w14:textId="0A1585E0"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DD" w14:textId="77777777" w:rsidR="00FB609F" w:rsidRPr="003D35B9" w:rsidRDefault="00F62480">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DF" w14:textId="77777777" w:rsidR="00FB609F" w:rsidRPr="003D35B9" w:rsidRDefault="00F62480">
            <w:r w:rsidRPr="003D35B9">
              <w:t> </w:t>
            </w:r>
          </w:p>
        </w:tc>
      </w:tr>
      <w:tr w:rsidR="00FB609F" w:rsidRPr="003D35B9" w14:paraId="4F997116" w14:textId="77777777" w:rsidTr="00B02114">
        <w:tc>
          <w:tcPr>
            <w:tcW w:w="5654" w:type="dxa"/>
            <w:tcBorders>
              <w:top w:val="single" w:sz="6" w:space="0" w:color="C1C7CD"/>
              <w:left w:val="single" w:sz="4" w:space="0" w:color="C1C7CD"/>
              <w:bottom w:val="single" w:sz="4" w:space="0" w:color="C1C7CD"/>
              <w:right w:val="single" w:sz="4" w:space="0" w:color="C1C7CD"/>
            </w:tcBorders>
            <w:shd w:val="clear" w:color="auto" w:fill="DEEAF6"/>
            <w:tcMar>
              <w:top w:w="75" w:type="dxa"/>
              <w:left w:w="120" w:type="dxa"/>
              <w:bottom w:w="75" w:type="dxa"/>
              <w:right w:w="120" w:type="dxa"/>
            </w:tcMar>
          </w:tcPr>
          <w:p w14:paraId="000001E0" w14:textId="77777777" w:rsidR="00FB609F" w:rsidRPr="003D35B9" w:rsidRDefault="00F62480" w:rsidP="00846B53">
            <w:pPr>
              <w:rPr>
                <w:b/>
              </w:rPr>
            </w:pPr>
            <w:r w:rsidRPr="003D35B9">
              <w:rPr>
                <w:b/>
              </w:rPr>
              <w:t>De mediu</w:t>
            </w:r>
          </w:p>
        </w:tc>
        <w:tc>
          <w:tcPr>
            <w:tcW w:w="1134" w:type="dxa"/>
            <w:tcBorders>
              <w:top w:val="single" w:sz="6" w:space="0" w:color="C1C7CD"/>
              <w:left w:val="single" w:sz="6" w:space="0" w:color="C1C7CD"/>
              <w:bottom w:val="single" w:sz="4" w:space="0" w:color="C1C7CD"/>
              <w:right w:val="single" w:sz="4" w:space="0" w:color="C1C7CD"/>
            </w:tcBorders>
            <w:shd w:val="clear" w:color="auto" w:fill="DEEAF6"/>
            <w:tcMar>
              <w:top w:w="75" w:type="dxa"/>
              <w:left w:w="120" w:type="dxa"/>
              <w:bottom w:w="75" w:type="dxa"/>
              <w:right w:w="120" w:type="dxa"/>
            </w:tcMar>
          </w:tcPr>
          <w:p w14:paraId="000001E1" w14:textId="77777777" w:rsidR="00FB609F" w:rsidRPr="003D35B9" w:rsidRDefault="00FB609F" w:rsidP="005B76DD">
            <w:pPr>
              <w:spacing w:after="160" w:line="256" w:lineRule="auto"/>
              <w:jc w:val="center"/>
              <w:rPr>
                <w:b/>
              </w:rPr>
            </w:pPr>
          </w:p>
        </w:tc>
        <w:tc>
          <w:tcPr>
            <w:tcW w:w="1418" w:type="dxa"/>
            <w:tcBorders>
              <w:top w:val="single" w:sz="6" w:space="0" w:color="C1C7CD"/>
              <w:left w:val="single" w:sz="6" w:space="0" w:color="C1C7CD"/>
              <w:bottom w:val="single" w:sz="4" w:space="0" w:color="C1C7CD"/>
              <w:right w:val="single" w:sz="4" w:space="0" w:color="C1C7CD"/>
            </w:tcBorders>
            <w:shd w:val="clear" w:color="auto" w:fill="DEEAF6"/>
            <w:tcMar>
              <w:top w:w="75" w:type="dxa"/>
              <w:left w:w="120" w:type="dxa"/>
              <w:bottom w:w="75" w:type="dxa"/>
              <w:right w:w="120" w:type="dxa"/>
            </w:tcMar>
          </w:tcPr>
          <w:p w14:paraId="000001E3" w14:textId="77777777" w:rsidR="00FB609F" w:rsidRPr="003D35B9" w:rsidRDefault="00FB609F">
            <w:pPr>
              <w:spacing w:line="256" w:lineRule="auto"/>
              <w:rPr>
                <w:rFonts w:ascii="Calibri" w:eastAsia="Calibri" w:hAnsi="Calibri" w:cs="Calibri"/>
                <w:sz w:val="20"/>
                <w:szCs w:val="20"/>
              </w:rPr>
            </w:pPr>
          </w:p>
        </w:tc>
        <w:tc>
          <w:tcPr>
            <w:tcW w:w="1438" w:type="dxa"/>
            <w:tcBorders>
              <w:top w:val="single" w:sz="6" w:space="0" w:color="C1C7CD"/>
              <w:left w:val="single" w:sz="6" w:space="0" w:color="C1C7CD"/>
              <w:bottom w:val="single" w:sz="4" w:space="0" w:color="C1C7CD"/>
              <w:right w:val="single" w:sz="4" w:space="0" w:color="C1C7CD"/>
            </w:tcBorders>
            <w:shd w:val="clear" w:color="auto" w:fill="DEEAF6"/>
            <w:tcMar>
              <w:top w:w="75" w:type="dxa"/>
              <w:left w:w="120" w:type="dxa"/>
              <w:bottom w:w="75" w:type="dxa"/>
              <w:right w:w="120" w:type="dxa"/>
            </w:tcMar>
          </w:tcPr>
          <w:p w14:paraId="000001E5" w14:textId="77777777" w:rsidR="00FB609F" w:rsidRPr="003D35B9" w:rsidRDefault="00FB609F">
            <w:pPr>
              <w:spacing w:line="256" w:lineRule="auto"/>
              <w:rPr>
                <w:rFonts w:ascii="Calibri" w:eastAsia="Calibri" w:hAnsi="Calibri" w:cs="Calibri"/>
                <w:sz w:val="20"/>
                <w:szCs w:val="20"/>
              </w:rPr>
            </w:pPr>
          </w:p>
        </w:tc>
      </w:tr>
      <w:tr w:rsidR="00FB609F" w:rsidRPr="003D35B9" w14:paraId="4C9446C3"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E6" w14:textId="77777777" w:rsidR="00FB609F" w:rsidRPr="003D35B9" w:rsidRDefault="00F62480" w:rsidP="00846B53">
            <w:r w:rsidRPr="003D35B9">
              <w:t>clima, inclusiv emisiile gazelor cu efect de seră și celor care afectează stratul de ozon</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E7" w14:textId="76BD994B"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E9" w14:textId="532D4064"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EB" w14:textId="2338C012" w:rsidR="00FB609F" w:rsidRPr="003D35B9" w:rsidRDefault="00FB609F"/>
        </w:tc>
      </w:tr>
      <w:tr w:rsidR="00FB609F" w:rsidRPr="003D35B9" w14:paraId="6F6B84A6"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EC" w14:textId="77777777" w:rsidR="00FB609F" w:rsidRPr="003D35B9" w:rsidRDefault="00F62480" w:rsidP="00846B53">
            <w:r w:rsidRPr="003D35B9">
              <w:t>calitatea aerului</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ED" w14:textId="62AED7EB"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EF" w14:textId="0B25F388"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F1" w14:textId="0A0C0B9B" w:rsidR="00FB609F" w:rsidRPr="003D35B9" w:rsidRDefault="00FB609F"/>
        </w:tc>
      </w:tr>
      <w:tr w:rsidR="00FB609F" w:rsidRPr="003D35B9" w14:paraId="0ACCBE08"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F2" w14:textId="77777777" w:rsidR="00FB609F" w:rsidRPr="003D35B9" w:rsidRDefault="00F62480" w:rsidP="00846B53">
            <w:r w:rsidRPr="003D35B9">
              <w:t>calitatea și cantitatea apei și resurselor acvatice, inclusiv a apei potabile și de alt gen</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F3" w14:textId="689E2E02"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F5" w14:textId="722415D9"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F7" w14:textId="49FC610D" w:rsidR="00FB609F" w:rsidRPr="003D35B9" w:rsidRDefault="00FB609F"/>
        </w:tc>
      </w:tr>
      <w:tr w:rsidR="00FB609F" w:rsidRPr="003D35B9" w14:paraId="6BA2F7C5"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F8" w14:textId="77777777" w:rsidR="00FB609F" w:rsidRPr="003D35B9" w:rsidRDefault="00F62480" w:rsidP="00846B53">
            <w:r w:rsidRPr="003D35B9">
              <w:t>biodiversitatea</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F9" w14:textId="1757E230"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FB" w14:textId="26BB3528"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FD" w14:textId="6D6715C6" w:rsidR="00FB609F" w:rsidRPr="003D35B9" w:rsidRDefault="00FB609F"/>
        </w:tc>
      </w:tr>
      <w:tr w:rsidR="00FB609F" w:rsidRPr="003D35B9" w14:paraId="6608299D"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1FE" w14:textId="77777777" w:rsidR="00FB609F" w:rsidRPr="003D35B9" w:rsidRDefault="00F62480" w:rsidP="00846B53">
            <w:r w:rsidRPr="003D35B9">
              <w:t>flora</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1FF" w14:textId="218D0EA6"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01" w14:textId="6532B96D"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03" w14:textId="76F30C7B" w:rsidR="00FB609F" w:rsidRPr="003D35B9" w:rsidRDefault="00FB609F"/>
        </w:tc>
      </w:tr>
      <w:tr w:rsidR="00FB609F" w:rsidRPr="003D35B9" w14:paraId="62315F59"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204" w14:textId="77777777" w:rsidR="00FB609F" w:rsidRPr="003D35B9" w:rsidRDefault="00F62480" w:rsidP="00846B53">
            <w:r w:rsidRPr="003D35B9">
              <w:t>fauna</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05" w14:textId="3B77CD86" w:rsidR="00FB609F" w:rsidRPr="003D35B9" w:rsidRDefault="001F1C00"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07" w14:textId="3ACBCF52" w:rsidR="00FB609F" w:rsidRPr="003D35B9" w:rsidRDefault="00FB609F"/>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09" w14:textId="6600766B" w:rsidR="00FB609F" w:rsidRPr="003D35B9" w:rsidRDefault="00FB609F"/>
        </w:tc>
      </w:tr>
      <w:tr w:rsidR="005B76DD" w:rsidRPr="003D35B9" w14:paraId="1B23C814"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20A" w14:textId="77777777" w:rsidR="005B76DD" w:rsidRPr="003D35B9" w:rsidRDefault="005B76DD" w:rsidP="005B76DD">
            <w:r w:rsidRPr="003D35B9">
              <w:t>peisajele naturale</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0B" w14:textId="41403115" w:rsidR="005B76DD" w:rsidRPr="003D35B9" w:rsidRDefault="005B76DD"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0D" w14:textId="77777777" w:rsidR="005B76DD" w:rsidRPr="003D35B9" w:rsidRDefault="005B76DD" w:rsidP="005B76DD">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0F" w14:textId="77777777" w:rsidR="005B76DD" w:rsidRPr="003D35B9" w:rsidRDefault="005B76DD" w:rsidP="005B76DD">
            <w:r w:rsidRPr="003D35B9">
              <w:t> </w:t>
            </w:r>
          </w:p>
        </w:tc>
      </w:tr>
      <w:tr w:rsidR="005B76DD" w:rsidRPr="003D35B9" w14:paraId="46BF6C93"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210" w14:textId="77777777" w:rsidR="005B76DD" w:rsidRPr="003D35B9" w:rsidRDefault="005B76DD" w:rsidP="005B76DD">
            <w:r w:rsidRPr="003D35B9">
              <w:t>starea și resursele solului</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11" w14:textId="58367845" w:rsidR="005B76DD" w:rsidRPr="003D35B9" w:rsidRDefault="005B76DD"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13" w14:textId="77777777" w:rsidR="005B76DD" w:rsidRPr="003D35B9" w:rsidRDefault="005B76DD" w:rsidP="005B76DD">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15" w14:textId="77777777" w:rsidR="005B76DD" w:rsidRPr="003D35B9" w:rsidRDefault="005B76DD" w:rsidP="005B76DD">
            <w:r w:rsidRPr="003D35B9">
              <w:t> </w:t>
            </w:r>
          </w:p>
        </w:tc>
      </w:tr>
      <w:tr w:rsidR="005B76DD" w:rsidRPr="003D35B9" w14:paraId="38B51DEB"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216" w14:textId="77777777" w:rsidR="005B76DD" w:rsidRPr="003D35B9" w:rsidRDefault="005B76DD" w:rsidP="005B76DD">
            <w:r w:rsidRPr="003D35B9">
              <w:t>producerea și reciclarea deșeurilor</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17" w14:textId="0A46B2CE" w:rsidR="005B76DD" w:rsidRPr="003D35B9" w:rsidRDefault="005B76DD"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19" w14:textId="77777777" w:rsidR="005B76DD" w:rsidRPr="003D35B9" w:rsidRDefault="005B76DD" w:rsidP="005B76DD">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1B" w14:textId="77777777" w:rsidR="005B76DD" w:rsidRPr="003D35B9" w:rsidRDefault="005B76DD" w:rsidP="005B76DD">
            <w:r w:rsidRPr="003D35B9">
              <w:t> </w:t>
            </w:r>
          </w:p>
        </w:tc>
      </w:tr>
      <w:tr w:rsidR="005B76DD" w:rsidRPr="003D35B9" w14:paraId="17498409"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21C" w14:textId="77777777" w:rsidR="005B76DD" w:rsidRPr="003D35B9" w:rsidRDefault="005B76DD" w:rsidP="005B76DD">
            <w:r w:rsidRPr="003D35B9">
              <w:lastRenderedPageBreak/>
              <w:t>utilizarea eficientă a resurselor regenerabile și neregenerabile</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1D" w14:textId="7CEB7738" w:rsidR="005B76DD" w:rsidRPr="003D35B9" w:rsidRDefault="006113CA" w:rsidP="005B76DD">
            <w:pPr>
              <w:jc w:val="center"/>
            </w:pPr>
            <w:r>
              <w:t>+2</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1F" w14:textId="77777777" w:rsidR="005B76DD" w:rsidRPr="003D35B9" w:rsidRDefault="005B76DD" w:rsidP="005B76DD">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21" w14:textId="77777777" w:rsidR="005B76DD" w:rsidRPr="003D35B9" w:rsidRDefault="005B76DD" w:rsidP="005B76DD">
            <w:r w:rsidRPr="003D35B9">
              <w:t> </w:t>
            </w:r>
          </w:p>
        </w:tc>
      </w:tr>
      <w:tr w:rsidR="005B76DD" w:rsidRPr="003D35B9" w14:paraId="7A5B0191"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222" w14:textId="77777777" w:rsidR="005B76DD" w:rsidRPr="003D35B9" w:rsidRDefault="005B76DD" w:rsidP="005B76DD">
            <w:r w:rsidRPr="003D35B9">
              <w:t>consumul și producția durabilă</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23" w14:textId="391C50A6" w:rsidR="005B76DD" w:rsidRPr="003D35B9" w:rsidRDefault="005B76DD"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25" w14:textId="77777777" w:rsidR="005B76DD" w:rsidRPr="003D35B9" w:rsidRDefault="005B76DD" w:rsidP="005B76DD">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27" w14:textId="77777777" w:rsidR="005B76DD" w:rsidRPr="003D35B9" w:rsidRDefault="005B76DD" w:rsidP="005B76DD">
            <w:r w:rsidRPr="003D35B9">
              <w:t> </w:t>
            </w:r>
          </w:p>
        </w:tc>
      </w:tr>
      <w:tr w:rsidR="005B76DD" w:rsidRPr="003D35B9" w14:paraId="10580FA4"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228" w14:textId="77777777" w:rsidR="005B76DD" w:rsidRPr="003D35B9" w:rsidRDefault="005B76DD" w:rsidP="005B76DD">
            <w:r w:rsidRPr="003D35B9">
              <w:t>intensitatea energetică</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29" w14:textId="66D922C3" w:rsidR="005B76DD" w:rsidRPr="003D35B9" w:rsidRDefault="005B76DD"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2B" w14:textId="77777777" w:rsidR="005B76DD" w:rsidRPr="003D35B9" w:rsidRDefault="005B76DD" w:rsidP="005B76DD">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2D" w14:textId="77777777" w:rsidR="005B76DD" w:rsidRPr="003D35B9" w:rsidRDefault="005B76DD" w:rsidP="005B76DD">
            <w:r w:rsidRPr="003D35B9">
              <w:t> </w:t>
            </w:r>
          </w:p>
        </w:tc>
      </w:tr>
      <w:tr w:rsidR="005B76DD" w:rsidRPr="003D35B9" w14:paraId="1D5CB2B7"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22E" w14:textId="77777777" w:rsidR="005B76DD" w:rsidRPr="003D35B9" w:rsidRDefault="005B76DD" w:rsidP="005B76DD">
            <w:r w:rsidRPr="003D35B9">
              <w:t>eficiența și performanța energetică</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2F" w14:textId="66152549" w:rsidR="005B76DD" w:rsidRPr="003D35B9" w:rsidRDefault="005B76DD"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31" w14:textId="77777777" w:rsidR="005B76DD" w:rsidRPr="003D35B9" w:rsidRDefault="005B76DD" w:rsidP="005B76DD">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33" w14:textId="77777777" w:rsidR="005B76DD" w:rsidRPr="003D35B9" w:rsidRDefault="005B76DD" w:rsidP="005B76DD">
            <w:r w:rsidRPr="003D35B9">
              <w:t> </w:t>
            </w:r>
          </w:p>
        </w:tc>
      </w:tr>
      <w:tr w:rsidR="005B76DD" w:rsidRPr="003D35B9" w14:paraId="0840C96F"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234" w14:textId="77777777" w:rsidR="005B76DD" w:rsidRPr="003D35B9" w:rsidRDefault="005B76DD" w:rsidP="005B76DD">
            <w:r w:rsidRPr="003D35B9">
              <w:t>bunăstarea animalelor</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35" w14:textId="393E46D7" w:rsidR="005B76DD" w:rsidRPr="003D35B9" w:rsidRDefault="005B76DD"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37" w14:textId="77777777" w:rsidR="005B76DD" w:rsidRPr="003D35B9" w:rsidRDefault="005B76DD" w:rsidP="005B76DD">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39" w14:textId="77777777" w:rsidR="005B76DD" w:rsidRPr="003D35B9" w:rsidRDefault="005B76DD" w:rsidP="005B76DD">
            <w:r w:rsidRPr="003D35B9">
              <w:t> </w:t>
            </w:r>
          </w:p>
        </w:tc>
      </w:tr>
      <w:tr w:rsidR="005B76DD" w:rsidRPr="003D35B9" w14:paraId="387C6E95"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23A" w14:textId="77777777" w:rsidR="005B76DD" w:rsidRPr="003D35B9" w:rsidRDefault="005B76DD" w:rsidP="005B76DD">
            <w:r w:rsidRPr="003D35B9">
              <w:t>riscuri majore pentru mediu (incendii, explozii, accidente etc.)</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3B" w14:textId="28B53500" w:rsidR="005B76DD" w:rsidRPr="003D35B9" w:rsidRDefault="005B76DD"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3D" w14:textId="77777777" w:rsidR="005B76DD" w:rsidRPr="003D35B9" w:rsidRDefault="005B76DD" w:rsidP="005B76DD">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3F" w14:textId="77777777" w:rsidR="005B76DD" w:rsidRPr="003D35B9" w:rsidRDefault="005B76DD" w:rsidP="005B76DD">
            <w:r w:rsidRPr="003D35B9">
              <w:t> </w:t>
            </w:r>
          </w:p>
        </w:tc>
      </w:tr>
      <w:tr w:rsidR="005B76DD" w:rsidRPr="003D35B9" w14:paraId="18AB1A01"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240" w14:textId="77777777" w:rsidR="005B76DD" w:rsidRPr="003D35B9" w:rsidRDefault="005B76DD" w:rsidP="005B76DD">
            <w:r w:rsidRPr="003D35B9">
              <w:t>utilizarea terenurilor</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41" w14:textId="327536F6" w:rsidR="005B76DD" w:rsidRPr="003D35B9" w:rsidRDefault="005B76DD"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43" w14:textId="77777777" w:rsidR="005B76DD" w:rsidRPr="003D35B9" w:rsidRDefault="005B76DD" w:rsidP="005B76DD">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45" w14:textId="77777777" w:rsidR="005B76DD" w:rsidRPr="003D35B9" w:rsidRDefault="005B76DD" w:rsidP="005B76DD">
            <w:r w:rsidRPr="003D35B9">
              <w:t> </w:t>
            </w:r>
          </w:p>
        </w:tc>
      </w:tr>
      <w:tr w:rsidR="005B76DD" w:rsidRPr="003D35B9" w14:paraId="771163F7" w14:textId="77777777" w:rsidTr="00B02114">
        <w:tc>
          <w:tcPr>
            <w:tcW w:w="5654" w:type="dxa"/>
            <w:tcBorders>
              <w:top w:val="single" w:sz="6" w:space="0" w:color="C1C7CD"/>
              <w:left w:val="single" w:sz="4" w:space="0" w:color="C1C7CD"/>
              <w:bottom w:val="single" w:sz="4" w:space="0" w:color="C1C7CD"/>
              <w:right w:val="single" w:sz="4" w:space="0" w:color="C1C7CD"/>
            </w:tcBorders>
            <w:tcMar>
              <w:top w:w="75" w:type="dxa"/>
              <w:left w:w="120" w:type="dxa"/>
              <w:bottom w:w="75" w:type="dxa"/>
              <w:right w:w="120" w:type="dxa"/>
            </w:tcMar>
          </w:tcPr>
          <w:p w14:paraId="00000246" w14:textId="77777777" w:rsidR="005B76DD" w:rsidRPr="003D35B9" w:rsidRDefault="005B76DD" w:rsidP="005B76DD">
            <w:r w:rsidRPr="003D35B9">
              <w:t>alte aspecte de mediu</w:t>
            </w:r>
          </w:p>
        </w:tc>
        <w:tc>
          <w:tcPr>
            <w:tcW w:w="1134"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47" w14:textId="073EC82A" w:rsidR="005B76DD" w:rsidRPr="003D35B9" w:rsidRDefault="005B76DD" w:rsidP="005B76DD">
            <w:pPr>
              <w:jc w:val="center"/>
            </w:pPr>
            <w:r w:rsidRPr="003D35B9">
              <w:t>0</w:t>
            </w:r>
          </w:p>
        </w:tc>
        <w:tc>
          <w:tcPr>
            <w:tcW w:w="141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49" w14:textId="77777777" w:rsidR="005B76DD" w:rsidRPr="003D35B9" w:rsidRDefault="005B76DD" w:rsidP="005B76DD">
            <w:r w:rsidRPr="003D35B9">
              <w:t> </w:t>
            </w:r>
          </w:p>
        </w:tc>
        <w:tc>
          <w:tcPr>
            <w:tcW w:w="1438" w:type="dxa"/>
            <w:tcBorders>
              <w:top w:val="single" w:sz="6" w:space="0" w:color="C1C7CD"/>
              <w:left w:val="single" w:sz="6" w:space="0" w:color="C1C7CD"/>
              <w:bottom w:val="single" w:sz="4" w:space="0" w:color="C1C7CD"/>
              <w:right w:val="single" w:sz="4" w:space="0" w:color="C1C7CD"/>
            </w:tcBorders>
            <w:shd w:val="clear" w:color="auto" w:fill="EFF6FD"/>
            <w:tcMar>
              <w:top w:w="75" w:type="dxa"/>
              <w:left w:w="120" w:type="dxa"/>
              <w:bottom w:w="75" w:type="dxa"/>
              <w:right w:w="120" w:type="dxa"/>
            </w:tcMar>
          </w:tcPr>
          <w:p w14:paraId="0000024B" w14:textId="77777777" w:rsidR="005B76DD" w:rsidRPr="003D35B9" w:rsidRDefault="005B76DD" w:rsidP="005B76DD">
            <w:r w:rsidRPr="003D35B9">
              <w:t> </w:t>
            </w:r>
          </w:p>
        </w:tc>
      </w:tr>
    </w:tbl>
    <w:p w14:paraId="0000024C" w14:textId="77777777" w:rsidR="00FB609F" w:rsidRPr="003D35B9" w:rsidRDefault="00F62480">
      <w:pPr>
        <w:jc w:val="both"/>
      </w:pPr>
      <w:r w:rsidRPr="003D35B9">
        <w:rPr>
          <w:i/>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3D35B9">
        <w:rPr>
          <w:i/>
          <w:vertAlign w:val="superscript"/>
        </w:rPr>
        <w:t>1</w:t>
      </w:r>
      <w:r w:rsidRPr="003D35B9">
        <w:rPr>
          <w:i/>
        </w:rPr>
        <w:t>) și, după caz,  b</w:t>
      </w:r>
      <w:r w:rsidRPr="003D35B9">
        <w:rPr>
          <w:i/>
          <w:vertAlign w:val="superscript"/>
        </w:rPr>
        <w:t>2</w:t>
      </w:r>
      <w:r w:rsidRPr="003D35B9">
        <w:rPr>
          <w:i/>
        </w:rPr>
        <w:t>), privind analiza impacturilor opțiunilor.</w:t>
      </w:r>
    </w:p>
    <w:p w14:paraId="0000024D" w14:textId="77777777" w:rsidR="00FB609F" w:rsidRPr="003D35B9" w:rsidRDefault="00FB609F"/>
    <w:p w14:paraId="00000252" w14:textId="77777777" w:rsidR="00FB609F" w:rsidRPr="003D35B9" w:rsidRDefault="00FB609F">
      <w:pPr>
        <w:tabs>
          <w:tab w:val="left" w:pos="0"/>
          <w:tab w:val="left" w:pos="284"/>
        </w:tabs>
        <w:spacing w:after="120"/>
        <w:jc w:val="both"/>
        <w:rPr>
          <w:highlight w:val="yellow"/>
        </w:rPr>
      </w:pPr>
    </w:p>
    <w:sectPr w:rsidR="00FB609F" w:rsidRPr="003D35B9">
      <w:footerReference w:type="even" r:id="rId11"/>
      <w:footerReference w:type="default" r:id="rId12"/>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C8B07" w14:textId="77777777" w:rsidR="00923C1B" w:rsidRDefault="00923C1B">
      <w:r>
        <w:separator/>
      </w:r>
    </w:p>
  </w:endnote>
  <w:endnote w:type="continuationSeparator" w:id="0">
    <w:p w14:paraId="5352726B" w14:textId="77777777" w:rsidR="00923C1B" w:rsidRDefault="0092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CC"/>
    <w:family w:val="auto"/>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55" w14:textId="77777777" w:rsidR="00B21B78" w:rsidRDefault="00B21B7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00000256" w14:textId="77777777" w:rsidR="00B21B78" w:rsidRDefault="00B21B78">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53" w14:textId="3CC2E2AF" w:rsidR="00B21B78" w:rsidRDefault="00B21B7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D45225">
      <w:rPr>
        <w:noProof/>
        <w:color w:val="000000"/>
      </w:rPr>
      <w:t>9</w:t>
    </w:r>
    <w:r>
      <w:rPr>
        <w:color w:val="000000"/>
      </w:rPr>
      <w:fldChar w:fldCharType="end"/>
    </w:r>
  </w:p>
  <w:p w14:paraId="00000254" w14:textId="77777777" w:rsidR="00B21B78" w:rsidRDefault="00B21B78">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9F9B8" w14:textId="77777777" w:rsidR="00923C1B" w:rsidRDefault="00923C1B">
      <w:r>
        <w:separator/>
      </w:r>
    </w:p>
  </w:footnote>
  <w:footnote w:type="continuationSeparator" w:id="0">
    <w:p w14:paraId="79B0278A" w14:textId="77777777" w:rsidR="00923C1B" w:rsidRDefault="00923C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55B7"/>
    <w:multiLevelType w:val="hybridMultilevel"/>
    <w:tmpl w:val="EFD6AA9C"/>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54D178F"/>
    <w:multiLevelType w:val="hybridMultilevel"/>
    <w:tmpl w:val="4568F5EA"/>
    <w:lvl w:ilvl="0" w:tplc="B07E7A0A">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0431E"/>
    <w:multiLevelType w:val="hybridMultilevel"/>
    <w:tmpl w:val="33CC8F6A"/>
    <w:lvl w:ilvl="0" w:tplc="04090011">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9471F"/>
    <w:multiLevelType w:val="hybridMultilevel"/>
    <w:tmpl w:val="6172EB74"/>
    <w:lvl w:ilvl="0" w:tplc="040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F5470C"/>
    <w:multiLevelType w:val="multilevel"/>
    <w:tmpl w:val="D3BE9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22225A"/>
    <w:multiLevelType w:val="hybridMultilevel"/>
    <w:tmpl w:val="B742E17C"/>
    <w:lvl w:ilvl="0" w:tplc="06400178">
      <w:start w:val="3"/>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82E28"/>
    <w:multiLevelType w:val="hybridMultilevel"/>
    <w:tmpl w:val="5244682C"/>
    <w:lvl w:ilvl="0" w:tplc="DC5409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91F5C"/>
    <w:multiLevelType w:val="hybridMultilevel"/>
    <w:tmpl w:val="7184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F273D"/>
    <w:multiLevelType w:val="hybridMultilevel"/>
    <w:tmpl w:val="EF288AA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23D26D2"/>
    <w:multiLevelType w:val="hybridMultilevel"/>
    <w:tmpl w:val="0310C9AE"/>
    <w:lvl w:ilvl="0" w:tplc="04090011">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CB0056"/>
    <w:multiLevelType w:val="hybridMultilevel"/>
    <w:tmpl w:val="27B0E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15972"/>
    <w:multiLevelType w:val="hybridMultilevel"/>
    <w:tmpl w:val="589CD6EE"/>
    <w:lvl w:ilvl="0" w:tplc="04090011">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9D3163"/>
    <w:multiLevelType w:val="hybridMultilevel"/>
    <w:tmpl w:val="EC26F61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6AD7C63"/>
    <w:multiLevelType w:val="hybridMultilevel"/>
    <w:tmpl w:val="6CA2F68C"/>
    <w:lvl w:ilvl="0" w:tplc="75AE2614">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D0BF2"/>
    <w:multiLevelType w:val="hybridMultilevel"/>
    <w:tmpl w:val="EB54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05632"/>
    <w:multiLevelType w:val="hybridMultilevel"/>
    <w:tmpl w:val="E4729AF4"/>
    <w:lvl w:ilvl="0" w:tplc="04190011">
      <w:start w:val="1"/>
      <w:numFmt w:val="decimal"/>
      <w:lvlText w:val="%1)"/>
      <w:lvlJc w:val="left"/>
      <w:pPr>
        <w:ind w:left="1314" w:hanging="360"/>
      </w:p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16" w15:restartNumberingAfterBreak="0">
    <w:nsid w:val="2F341B8D"/>
    <w:multiLevelType w:val="hybridMultilevel"/>
    <w:tmpl w:val="479EE42C"/>
    <w:lvl w:ilvl="0" w:tplc="B5144096">
      <w:numFmt w:val="bullet"/>
      <w:lvlText w:val="-"/>
      <w:lvlJc w:val="left"/>
      <w:pPr>
        <w:tabs>
          <w:tab w:val="num" w:pos="720"/>
        </w:tabs>
        <w:ind w:left="720" w:hanging="360"/>
      </w:pPr>
      <w:rPr>
        <w:rFonts w:ascii="Times New Roman" w:eastAsia="Andale Sans U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210E1"/>
    <w:multiLevelType w:val="hybridMultilevel"/>
    <w:tmpl w:val="A7305990"/>
    <w:lvl w:ilvl="0" w:tplc="73C60474">
      <w:start w:val="1"/>
      <w:numFmt w:val="decimal"/>
      <w:lvlText w:val="%1."/>
      <w:lvlJc w:val="left"/>
      <w:pPr>
        <w:ind w:left="1289" w:hanging="360"/>
      </w:pPr>
      <w:rPr>
        <w:b/>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18" w15:restartNumberingAfterBreak="0">
    <w:nsid w:val="36C3141D"/>
    <w:multiLevelType w:val="hybridMultilevel"/>
    <w:tmpl w:val="5468B488"/>
    <w:lvl w:ilvl="0" w:tplc="4336D7A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E93D77"/>
    <w:multiLevelType w:val="hybridMultilevel"/>
    <w:tmpl w:val="96E6627A"/>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0" w15:restartNumberingAfterBreak="0">
    <w:nsid w:val="39273E7E"/>
    <w:multiLevelType w:val="hybridMultilevel"/>
    <w:tmpl w:val="74CAFE66"/>
    <w:lvl w:ilvl="0" w:tplc="75AE2614">
      <w:start w:val="16"/>
      <w:numFmt w:val="bullet"/>
      <w:lvlText w:val="-"/>
      <w:lvlJc w:val="left"/>
      <w:pPr>
        <w:ind w:left="1590" w:hanging="360"/>
      </w:pPr>
      <w:rPr>
        <w:rFonts w:ascii="Times New Roman" w:eastAsia="Calibri" w:hAnsi="Times New Roman"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1" w15:restartNumberingAfterBreak="0">
    <w:nsid w:val="4113386F"/>
    <w:multiLevelType w:val="hybridMultilevel"/>
    <w:tmpl w:val="9398A708"/>
    <w:lvl w:ilvl="0" w:tplc="04180017">
      <w:start w:val="1"/>
      <w:numFmt w:val="lowerLetter"/>
      <w:lvlText w:val="%1)"/>
      <w:lvlJc w:val="left"/>
      <w:pPr>
        <w:ind w:left="1866" w:hanging="360"/>
      </w:pPr>
    </w:lvl>
    <w:lvl w:ilvl="1" w:tplc="04180019" w:tentative="1">
      <w:start w:val="1"/>
      <w:numFmt w:val="lowerLetter"/>
      <w:lvlText w:val="%2."/>
      <w:lvlJc w:val="left"/>
      <w:pPr>
        <w:ind w:left="2586" w:hanging="360"/>
      </w:pPr>
    </w:lvl>
    <w:lvl w:ilvl="2" w:tplc="0418001B" w:tentative="1">
      <w:start w:val="1"/>
      <w:numFmt w:val="lowerRoman"/>
      <w:lvlText w:val="%3."/>
      <w:lvlJc w:val="right"/>
      <w:pPr>
        <w:ind w:left="3306" w:hanging="180"/>
      </w:pPr>
    </w:lvl>
    <w:lvl w:ilvl="3" w:tplc="0418000F" w:tentative="1">
      <w:start w:val="1"/>
      <w:numFmt w:val="decimal"/>
      <w:lvlText w:val="%4."/>
      <w:lvlJc w:val="left"/>
      <w:pPr>
        <w:ind w:left="4026" w:hanging="360"/>
      </w:pPr>
    </w:lvl>
    <w:lvl w:ilvl="4" w:tplc="04180019" w:tentative="1">
      <w:start w:val="1"/>
      <w:numFmt w:val="lowerLetter"/>
      <w:lvlText w:val="%5."/>
      <w:lvlJc w:val="left"/>
      <w:pPr>
        <w:ind w:left="4746" w:hanging="360"/>
      </w:pPr>
    </w:lvl>
    <w:lvl w:ilvl="5" w:tplc="0418001B" w:tentative="1">
      <w:start w:val="1"/>
      <w:numFmt w:val="lowerRoman"/>
      <w:lvlText w:val="%6."/>
      <w:lvlJc w:val="right"/>
      <w:pPr>
        <w:ind w:left="5466" w:hanging="180"/>
      </w:pPr>
    </w:lvl>
    <w:lvl w:ilvl="6" w:tplc="0418000F" w:tentative="1">
      <w:start w:val="1"/>
      <w:numFmt w:val="decimal"/>
      <w:lvlText w:val="%7."/>
      <w:lvlJc w:val="left"/>
      <w:pPr>
        <w:ind w:left="6186" w:hanging="360"/>
      </w:pPr>
    </w:lvl>
    <w:lvl w:ilvl="7" w:tplc="04180019" w:tentative="1">
      <w:start w:val="1"/>
      <w:numFmt w:val="lowerLetter"/>
      <w:lvlText w:val="%8."/>
      <w:lvlJc w:val="left"/>
      <w:pPr>
        <w:ind w:left="6906" w:hanging="360"/>
      </w:pPr>
    </w:lvl>
    <w:lvl w:ilvl="8" w:tplc="0418001B" w:tentative="1">
      <w:start w:val="1"/>
      <w:numFmt w:val="lowerRoman"/>
      <w:lvlText w:val="%9."/>
      <w:lvlJc w:val="right"/>
      <w:pPr>
        <w:ind w:left="7626" w:hanging="180"/>
      </w:pPr>
    </w:lvl>
  </w:abstractNum>
  <w:abstractNum w:abstractNumId="22" w15:restartNumberingAfterBreak="0">
    <w:nsid w:val="5B047BEA"/>
    <w:multiLevelType w:val="multilevel"/>
    <w:tmpl w:val="0DCA41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D636FC6"/>
    <w:multiLevelType w:val="hybridMultilevel"/>
    <w:tmpl w:val="47ACECB8"/>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E163867"/>
    <w:multiLevelType w:val="hybridMultilevel"/>
    <w:tmpl w:val="012EAE40"/>
    <w:lvl w:ilvl="0" w:tplc="0409000F">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CD4FAC"/>
    <w:multiLevelType w:val="hybridMultilevel"/>
    <w:tmpl w:val="AF527B64"/>
    <w:lvl w:ilvl="0" w:tplc="13503CDE">
      <w:start w:val="1"/>
      <w:numFmt w:val="decimal"/>
      <w:lvlText w:val="%1."/>
      <w:lvlJc w:val="left"/>
      <w:pPr>
        <w:ind w:left="1080" w:hanging="360"/>
      </w:pPr>
      <w:rPr>
        <w:rFonts w:hint="default"/>
        <w:i/>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6F1A0A74"/>
    <w:multiLevelType w:val="hybridMultilevel"/>
    <w:tmpl w:val="485C4330"/>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7" w15:restartNumberingAfterBreak="0">
    <w:nsid w:val="6FFD06FA"/>
    <w:multiLevelType w:val="hybridMultilevel"/>
    <w:tmpl w:val="A89AB124"/>
    <w:lvl w:ilvl="0" w:tplc="04090011">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36776E"/>
    <w:multiLevelType w:val="multilevel"/>
    <w:tmpl w:val="22289D6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2921C28"/>
    <w:multiLevelType w:val="hybridMultilevel"/>
    <w:tmpl w:val="2AAA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4680C"/>
    <w:multiLevelType w:val="hybridMultilevel"/>
    <w:tmpl w:val="BEC8A5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464BB"/>
    <w:multiLevelType w:val="multilevel"/>
    <w:tmpl w:val="7174E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1"/>
  </w:num>
  <w:num w:numId="3">
    <w:abstractNumId w:val="25"/>
  </w:num>
  <w:num w:numId="4">
    <w:abstractNumId w:val="29"/>
  </w:num>
  <w:num w:numId="5">
    <w:abstractNumId w:val="1"/>
  </w:num>
  <w:num w:numId="6">
    <w:abstractNumId w:val="2"/>
  </w:num>
  <w:num w:numId="7">
    <w:abstractNumId w:val="27"/>
  </w:num>
  <w:num w:numId="8">
    <w:abstractNumId w:val="24"/>
  </w:num>
  <w:num w:numId="9">
    <w:abstractNumId w:val="9"/>
  </w:num>
  <w:num w:numId="10">
    <w:abstractNumId w:val="11"/>
  </w:num>
  <w:num w:numId="11">
    <w:abstractNumId w:val="21"/>
  </w:num>
  <w:num w:numId="12">
    <w:abstractNumId w:val="18"/>
  </w:num>
  <w:num w:numId="13">
    <w:abstractNumId w:val="5"/>
  </w:num>
  <w:num w:numId="14">
    <w:abstractNumId w:val="16"/>
  </w:num>
  <w:num w:numId="15">
    <w:abstractNumId w:val="12"/>
  </w:num>
  <w:num w:numId="16">
    <w:abstractNumId w:val="8"/>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0"/>
  </w:num>
  <w:num w:numId="33">
    <w:abstractNumId w:val="23"/>
  </w:num>
  <w:num w:numId="34">
    <w:abstractNumId w:val="3"/>
  </w:num>
  <w:num w:numId="35">
    <w:abstractNumId w:val="6"/>
  </w:num>
  <w:num w:numId="36">
    <w:abstractNumId w:val="26"/>
  </w:num>
  <w:num w:numId="37">
    <w:abstractNumId w:val="15"/>
  </w:num>
  <w:num w:numId="38">
    <w:abstractNumId w:val="10"/>
  </w:num>
  <w:num w:numId="39">
    <w:abstractNumId w:val="19"/>
  </w:num>
  <w:num w:numId="40">
    <w:abstractNumId w:val="14"/>
  </w:num>
  <w:num w:numId="41">
    <w:abstractNumId w:val="17"/>
  </w:num>
  <w:num w:numId="42">
    <w:abstractNumId w:val="7"/>
  </w:num>
  <w:num w:numId="43">
    <w:abstractNumId w:val="13"/>
  </w:num>
  <w:num w:numId="44">
    <w:abstractNumId w:val="20"/>
  </w:num>
  <w:num w:numId="4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9F"/>
    <w:rsid w:val="0000388E"/>
    <w:rsid w:val="0001178A"/>
    <w:rsid w:val="00011EA1"/>
    <w:rsid w:val="00016D4C"/>
    <w:rsid w:val="000175D4"/>
    <w:rsid w:val="00023ED0"/>
    <w:rsid w:val="0002437C"/>
    <w:rsid w:val="000255A9"/>
    <w:rsid w:val="00034B3F"/>
    <w:rsid w:val="00034DA1"/>
    <w:rsid w:val="00037F2F"/>
    <w:rsid w:val="00045B32"/>
    <w:rsid w:val="00055B43"/>
    <w:rsid w:val="00063283"/>
    <w:rsid w:val="000644DC"/>
    <w:rsid w:val="00072D2A"/>
    <w:rsid w:val="00073181"/>
    <w:rsid w:val="00076534"/>
    <w:rsid w:val="00095D21"/>
    <w:rsid w:val="000A5C85"/>
    <w:rsid w:val="000B4806"/>
    <w:rsid w:val="000B583D"/>
    <w:rsid w:val="000B793E"/>
    <w:rsid w:val="000C2758"/>
    <w:rsid w:val="000C3796"/>
    <w:rsid w:val="000C47C8"/>
    <w:rsid w:val="000C568D"/>
    <w:rsid w:val="000C6BDD"/>
    <w:rsid w:val="000C6E3E"/>
    <w:rsid w:val="000D22F5"/>
    <w:rsid w:val="000D427F"/>
    <w:rsid w:val="000E31ED"/>
    <w:rsid w:val="000F2C32"/>
    <w:rsid w:val="000F69E1"/>
    <w:rsid w:val="000F76D9"/>
    <w:rsid w:val="00101CFC"/>
    <w:rsid w:val="00102ED9"/>
    <w:rsid w:val="0010423E"/>
    <w:rsid w:val="0010620E"/>
    <w:rsid w:val="00127CC8"/>
    <w:rsid w:val="0013232C"/>
    <w:rsid w:val="001347F9"/>
    <w:rsid w:val="00136D0C"/>
    <w:rsid w:val="001414BE"/>
    <w:rsid w:val="00142424"/>
    <w:rsid w:val="00143E7A"/>
    <w:rsid w:val="00150638"/>
    <w:rsid w:val="001528DF"/>
    <w:rsid w:val="00157A44"/>
    <w:rsid w:val="001623FA"/>
    <w:rsid w:val="00166211"/>
    <w:rsid w:val="00177F84"/>
    <w:rsid w:val="0018481D"/>
    <w:rsid w:val="001A0154"/>
    <w:rsid w:val="001A3AED"/>
    <w:rsid w:val="001A40A0"/>
    <w:rsid w:val="001B6D65"/>
    <w:rsid w:val="001C035A"/>
    <w:rsid w:val="001C3695"/>
    <w:rsid w:val="001D1C75"/>
    <w:rsid w:val="001F1C00"/>
    <w:rsid w:val="002039EA"/>
    <w:rsid w:val="002042F7"/>
    <w:rsid w:val="002103F8"/>
    <w:rsid w:val="00226E46"/>
    <w:rsid w:val="00232956"/>
    <w:rsid w:val="002358DE"/>
    <w:rsid w:val="00243488"/>
    <w:rsid w:val="0024609B"/>
    <w:rsid w:val="002464CA"/>
    <w:rsid w:val="00250091"/>
    <w:rsid w:val="00253495"/>
    <w:rsid w:val="00255915"/>
    <w:rsid w:val="00256137"/>
    <w:rsid w:val="00261937"/>
    <w:rsid w:val="002620BE"/>
    <w:rsid w:val="00262143"/>
    <w:rsid w:val="00262630"/>
    <w:rsid w:val="00273D03"/>
    <w:rsid w:val="00274998"/>
    <w:rsid w:val="00274AFE"/>
    <w:rsid w:val="00280292"/>
    <w:rsid w:val="00284ED3"/>
    <w:rsid w:val="00290AF6"/>
    <w:rsid w:val="00291E07"/>
    <w:rsid w:val="0029367A"/>
    <w:rsid w:val="002A3A9A"/>
    <w:rsid w:val="002A4158"/>
    <w:rsid w:val="002B2257"/>
    <w:rsid w:val="002B39FC"/>
    <w:rsid w:val="002B4954"/>
    <w:rsid w:val="002B5128"/>
    <w:rsid w:val="002C6EF0"/>
    <w:rsid w:val="002D0E1E"/>
    <w:rsid w:val="002D68AC"/>
    <w:rsid w:val="002E3CB4"/>
    <w:rsid w:val="002E65A7"/>
    <w:rsid w:val="002F1EEB"/>
    <w:rsid w:val="002F3AB8"/>
    <w:rsid w:val="002F3C48"/>
    <w:rsid w:val="002F3F69"/>
    <w:rsid w:val="002F6F15"/>
    <w:rsid w:val="002F7141"/>
    <w:rsid w:val="003025AD"/>
    <w:rsid w:val="00311D36"/>
    <w:rsid w:val="00312286"/>
    <w:rsid w:val="00313C35"/>
    <w:rsid w:val="00321D49"/>
    <w:rsid w:val="003251A3"/>
    <w:rsid w:val="0033028A"/>
    <w:rsid w:val="003412C4"/>
    <w:rsid w:val="00341BDB"/>
    <w:rsid w:val="003433B4"/>
    <w:rsid w:val="00343CDB"/>
    <w:rsid w:val="003518B1"/>
    <w:rsid w:val="0036044A"/>
    <w:rsid w:val="00371F7A"/>
    <w:rsid w:val="00372B47"/>
    <w:rsid w:val="00373041"/>
    <w:rsid w:val="00380BCB"/>
    <w:rsid w:val="00381109"/>
    <w:rsid w:val="003828EF"/>
    <w:rsid w:val="0038330E"/>
    <w:rsid w:val="003836AF"/>
    <w:rsid w:val="00383EC6"/>
    <w:rsid w:val="00386EA8"/>
    <w:rsid w:val="00390463"/>
    <w:rsid w:val="00394A4E"/>
    <w:rsid w:val="0039651F"/>
    <w:rsid w:val="003A03E8"/>
    <w:rsid w:val="003A34A3"/>
    <w:rsid w:val="003A64EA"/>
    <w:rsid w:val="003B644F"/>
    <w:rsid w:val="003C426E"/>
    <w:rsid w:val="003D35B9"/>
    <w:rsid w:val="003D7291"/>
    <w:rsid w:val="003E560A"/>
    <w:rsid w:val="003F2603"/>
    <w:rsid w:val="003F2DAA"/>
    <w:rsid w:val="003F3558"/>
    <w:rsid w:val="003F5F2A"/>
    <w:rsid w:val="00400489"/>
    <w:rsid w:val="00404907"/>
    <w:rsid w:val="00405EE1"/>
    <w:rsid w:val="00426895"/>
    <w:rsid w:val="00426CDB"/>
    <w:rsid w:val="00432EF7"/>
    <w:rsid w:val="00435A57"/>
    <w:rsid w:val="00436DC9"/>
    <w:rsid w:val="00441B38"/>
    <w:rsid w:val="004420E0"/>
    <w:rsid w:val="00451CFD"/>
    <w:rsid w:val="00455951"/>
    <w:rsid w:val="00455FE3"/>
    <w:rsid w:val="00461E6B"/>
    <w:rsid w:val="0046539C"/>
    <w:rsid w:val="00465926"/>
    <w:rsid w:val="00470858"/>
    <w:rsid w:val="00471C9D"/>
    <w:rsid w:val="004750AB"/>
    <w:rsid w:val="00475927"/>
    <w:rsid w:val="004825FD"/>
    <w:rsid w:val="004879DF"/>
    <w:rsid w:val="004C4139"/>
    <w:rsid w:val="004D3E4E"/>
    <w:rsid w:val="004D40A9"/>
    <w:rsid w:val="004D491D"/>
    <w:rsid w:val="004D4E63"/>
    <w:rsid w:val="004D5812"/>
    <w:rsid w:val="004D6A92"/>
    <w:rsid w:val="004D6EEE"/>
    <w:rsid w:val="004E7959"/>
    <w:rsid w:val="004F4541"/>
    <w:rsid w:val="00520FC7"/>
    <w:rsid w:val="005240D1"/>
    <w:rsid w:val="00532733"/>
    <w:rsid w:val="005350D2"/>
    <w:rsid w:val="00537842"/>
    <w:rsid w:val="005559D6"/>
    <w:rsid w:val="00557212"/>
    <w:rsid w:val="00560FC5"/>
    <w:rsid w:val="00561839"/>
    <w:rsid w:val="00567D9E"/>
    <w:rsid w:val="005744A4"/>
    <w:rsid w:val="00577DE0"/>
    <w:rsid w:val="00582259"/>
    <w:rsid w:val="0059107E"/>
    <w:rsid w:val="00595419"/>
    <w:rsid w:val="005956EA"/>
    <w:rsid w:val="00595C8F"/>
    <w:rsid w:val="005A68DE"/>
    <w:rsid w:val="005A69BE"/>
    <w:rsid w:val="005B2343"/>
    <w:rsid w:val="005B76DD"/>
    <w:rsid w:val="005C5A70"/>
    <w:rsid w:val="005C6A41"/>
    <w:rsid w:val="005D045E"/>
    <w:rsid w:val="005E71AE"/>
    <w:rsid w:val="005F1D4B"/>
    <w:rsid w:val="005F6C15"/>
    <w:rsid w:val="005F7D8D"/>
    <w:rsid w:val="00601392"/>
    <w:rsid w:val="00602F77"/>
    <w:rsid w:val="006039FA"/>
    <w:rsid w:val="00606C40"/>
    <w:rsid w:val="006113CA"/>
    <w:rsid w:val="006272EA"/>
    <w:rsid w:val="00627409"/>
    <w:rsid w:val="00630A6D"/>
    <w:rsid w:val="0063118C"/>
    <w:rsid w:val="00635BE5"/>
    <w:rsid w:val="006403A2"/>
    <w:rsid w:val="00640978"/>
    <w:rsid w:val="006437E9"/>
    <w:rsid w:val="00645D5D"/>
    <w:rsid w:val="006479A9"/>
    <w:rsid w:val="00651F00"/>
    <w:rsid w:val="00655955"/>
    <w:rsid w:val="006602B4"/>
    <w:rsid w:val="006625A2"/>
    <w:rsid w:val="006703A2"/>
    <w:rsid w:val="00671EC5"/>
    <w:rsid w:val="006754E4"/>
    <w:rsid w:val="006818C7"/>
    <w:rsid w:val="0068203F"/>
    <w:rsid w:val="006917F6"/>
    <w:rsid w:val="00692C96"/>
    <w:rsid w:val="00693247"/>
    <w:rsid w:val="00697DC9"/>
    <w:rsid w:val="006A1BD3"/>
    <w:rsid w:val="006A23CB"/>
    <w:rsid w:val="006B0B32"/>
    <w:rsid w:val="006B1FC4"/>
    <w:rsid w:val="006B4B35"/>
    <w:rsid w:val="006B57D2"/>
    <w:rsid w:val="006C3388"/>
    <w:rsid w:val="006C7687"/>
    <w:rsid w:val="006D0DAB"/>
    <w:rsid w:val="006D4063"/>
    <w:rsid w:val="006D463F"/>
    <w:rsid w:val="006D69C2"/>
    <w:rsid w:val="006D6F5B"/>
    <w:rsid w:val="006D7210"/>
    <w:rsid w:val="006E4BFD"/>
    <w:rsid w:val="006E5958"/>
    <w:rsid w:val="00700D54"/>
    <w:rsid w:val="007067F9"/>
    <w:rsid w:val="007211F9"/>
    <w:rsid w:val="00724B08"/>
    <w:rsid w:val="00726F2F"/>
    <w:rsid w:val="00736D1C"/>
    <w:rsid w:val="0074174A"/>
    <w:rsid w:val="00742DC7"/>
    <w:rsid w:val="00747798"/>
    <w:rsid w:val="00750237"/>
    <w:rsid w:val="007504AE"/>
    <w:rsid w:val="007616CC"/>
    <w:rsid w:val="00773A6C"/>
    <w:rsid w:val="00776439"/>
    <w:rsid w:val="00782FF9"/>
    <w:rsid w:val="00786372"/>
    <w:rsid w:val="007920FA"/>
    <w:rsid w:val="00792463"/>
    <w:rsid w:val="00792730"/>
    <w:rsid w:val="0079370B"/>
    <w:rsid w:val="007A2BC7"/>
    <w:rsid w:val="007A783F"/>
    <w:rsid w:val="007B0CF4"/>
    <w:rsid w:val="007B2D12"/>
    <w:rsid w:val="007C22DB"/>
    <w:rsid w:val="007C4B79"/>
    <w:rsid w:val="007C5365"/>
    <w:rsid w:val="007D1BF4"/>
    <w:rsid w:val="007E51BF"/>
    <w:rsid w:val="007E539E"/>
    <w:rsid w:val="007F282C"/>
    <w:rsid w:val="007F2880"/>
    <w:rsid w:val="007F46D2"/>
    <w:rsid w:val="00800085"/>
    <w:rsid w:val="0080029D"/>
    <w:rsid w:val="008029D1"/>
    <w:rsid w:val="00804A7F"/>
    <w:rsid w:val="00806820"/>
    <w:rsid w:val="0081054C"/>
    <w:rsid w:val="0081483C"/>
    <w:rsid w:val="0082264C"/>
    <w:rsid w:val="00823BF9"/>
    <w:rsid w:val="00825A99"/>
    <w:rsid w:val="0083702B"/>
    <w:rsid w:val="00841E2E"/>
    <w:rsid w:val="00844479"/>
    <w:rsid w:val="0084540C"/>
    <w:rsid w:val="00846B53"/>
    <w:rsid w:val="00846E4D"/>
    <w:rsid w:val="008565C0"/>
    <w:rsid w:val="00865516"/>
    <w:rsid w:val="0086581A"/>
    <w:rsid w:val="00867FCC"/>
    <w:rsid w:val="0087048B"/>
    <w:rsid w:val="00875613"/>
    <w:rsid w:val="00876323"/>
    <w:rsid w:val="00881614"/>
    <w:rsid w:val="008827DD"/>
    <w:rsid w:val="00883F82"/>
    <w:rsid w:val="008A191A"/>
    <w:rsid w:val="008B2AB0"/>
    <w:rsid w:val="008B61E7"/>
    <w:rsid w:val="008C3872"/>
    <w:rsid w:val="008C7A03"/>
    <w:rsid w:val="008D043A"/>
    <w:rsid w:val="008D3BA2"/>
    <w:rsid w:val="008D63E0"/>
    <w:rsid w:val="008E700E"/>
    <w:rsid w:val="008F2D12"/>
    <w:rsid w:val="008F39F8"/>
    <w:rsid w:val="00915C1F"/>
    <w:rsid w:val="009166F6"/>
    <w:rsid w:val="00921A4A"/>
    <w:rsid w:val="00922930"/>
    <w:rsid w:val="00923C1B"/>
    <w:rsid w:val="00924472"/>
    <w:rsid w:val="00925B32"/>
    <w:rsid w:val="00926825"/>
    <w:rsid w:val="00927B7D"/>
    <w:rsid w:val="009354D8"/>
    <w:rsid w:val="00935766"/>
    <w:rsid w:val="0093639C"/>
    <w:rsid w:val="00937242"/>
    <w:rsid w:val="00944EAB"/>
    <w:rsid w:val="009471D5"/>
    <w:rsid w:val="00950B53"/>
    <w:rsid w:val="00961120"/>
    <w:rsid w:val="009654E2"/>
    <w:rsid w:val="00967A27"/>
    <w:rsid w:val="00974DD6"/>
    <w:rsid w:val="00975247"/>
    <w:rsid w:val="00983075"/>
    <w:rsid w:val="00983436"/>
    <w:rsid w:val="00983DD8"/>
    <w:rsid w:val="009850C6"/>
    <w:rsid w:val="00990A21"/>
    <w:rsid w:val="009916E3"/>
    <w:rsid w:val="00995D0B"/>
    <w:rsid w:val="009A0F05"/>
    <w:rsid w:val="009A139F"/>
    <w:rsid w:val="009A2DD4"/>
    <w:rsid w:val="009B340D"/>
    <w:rsid w:val="009B533A"/>
    <w:rsid w:val="009D03E6"/>
    <w:rsid w:val="009D4569"/>
    <w:rsid w:val="009D528F"/>
    <w:rsid w:val="009E1D6F"/>
    <w:rsid w:val="009E1EA2"/>
    <w:rsid w:val="009E3D66"/>
    <w:rsid w:val="009F4D97"/>
    <w:rsid w:val="00A02718"/>
    <w:rsid w:val="00A0493D"/>
    <w:rsid w:val="00A05508"/>
    <w:rsid w:val="00A06D52"/>
    <w:rsid w:val="00A23E15"/>
    <w:rsid w:val="00A31449"/>
    <w:rsid w:val="00A33807"/>
    <w:rsid w:val="00A43808"/>
    <w:rsid w:val="00A456F6"/>
    <w:rsid w:val="00A50367"/>
    <w:rsid w:val="00A50EEA"/>
    <w:rsid w:val="00A54FFC"/>
    <w:rsid w:val="00A5739D"/>
    <w:rsid w:val="00A73675"/>
    <w:rsid w:val="00A73DE8"/>
    <w:rsid w:val="00A81A6C"/>
    <w:rsid w:val="00A81F39"/>
    <w:rsid w:val="00A94C0D"/>
    <w:rsid w:val="00AA0DB3"/>
    <w:rsid w:val="00AA21BD"/>
    <w:rsid w:val="00AB1EEC"/>
    <w:rsid w:val="00AB1F1F"/>
    <w:rsid w:val="00AB2D15"/>
    <w:rsid w:val="00AB345F"/>
    <w:rsid w:val="00AB4DD8"/>
    <w:rsid w:val="00AC2B36"/>
    <w:rsid w:val="00AC7582"/>
    <w:rsid w:val="00AD1AA3"/>
    <w:rsid w:val="00AD3448"/>
    <w:rsid w:val="00AD4FB7"/>
    <w:rsid w:val="00AD6D5E"/>
    <w:rsid w:val="00AE0C95"/>
    <w:rsid w:val="00AF348D"/>
    <w:rsid w:val="00B01025"/>
    <w:rsid w:val="00B02114"/>
    <w:rsid w:val="00B050A1"/>
    <w:rsid w:val="00B06F13"/>
    <w:rsid w:val="00B112A6"/>
    <w:rsid w:val="00B11B6F"/>
    <w:rsid w:val="00B14483"/>
    <w:rsid w:val="00B15A2D"/>
    <w:rsid w:val="00B16C54"/>
    <w:rsid w:val="00B20B2F"/>
    <w:rsid w:val="00B21B78"/>
    <w:rsid w:val="00B23901"/>
    <w:rsid w:val="00B23B1B"/>
    <w:rsid w:val="00B27D0E"/>
    <w:rsid w:val="00B431C5"/>
    <w:rsid w:val="00B43B05"/>
    <w:rsid w:val="00B50A90"/>
    <w:rsid w:val="00B50BBC"/>
    <w:rsid w:val="00B5326C"/>
    <w:rsid w:val="00B5431B"/>
    <w:rsid w:val="00B55F36"/>
    <w:rsid w:val="00B60AA1"/>
    <w:rsid w:val="00B64B11"/>
    <w:rsid w:val="00B663CF"/>
    <w:rsid w:val="00B66EFD"/>
    <w:rsid w:val="00B67C69"/>
    <w:rsid w:val="00B7162A"/>
    <w:rsid w:val="00B80884"/>
    <w:rsid w:val="00B80FD4"/>
    <w:rsid w:val="00B8156D"/>
    <w:rsid w:val="00B83316"/>
    <w:rsid w:val="00B8585D"/>
    <w:rsid w:val="00B911E3"/>
    <w:rsid w:val="00B91F0D"/>
    <w:rsid w:val="00B93CB5"/>
    <w:rsid w:val="00B957D2"/>
    <w:rsid w:val="00B97768"/>
    <w:rsid w:val="00BA1777"/>
    <w:rsid w:val="00BA1989"/>
    <w:rsid w:val="00BA1B23"/>
    <w:rsid w:val="00BA2731"/>
    <w:rsid w:val="00BA422B"/>
    <w:rsid w:val="00BA4B68"/>
    <w:rsid w:val="00BA767B"/>
    <w:rsid w:val="00BA7BCC"/>
    <w:rsid w:val="00BB0FFE"/>
    <w:rsid w:val="00BB1AB7"/>
    <w:rsid w:val="00BB1B97"/>
    <w:rsid w:val="00BB3353"/>
    <w:rsid w:val="00BB40B6"/>
    <w:rsid w:val="00BB4C69"/>
    <w:rsid w:val="00BD4A5E"/>
    <w:rsid w:val="00BE4AAA"/>
    <w:rsid w:val="00BE739D"/>
    <w:rsid w:val="00BE757F"/>
    <w:rsid w:val="00BF31D2"/>
    <w:rsid w:val="00BF53AF"/>
    <w:rsid w:val="00BF5BDE"/>
    <w:rsid w:val="00C011F0"/>
    <w:rsid w:val="00C0263D"/>
    <w:rsid w:val="00C055C9"/>
    <w:rsid w:val="00C10153"/>
    <w:rsid w:val="00C21422"/>
    <w:rsid w:val="00C234E9"/>
    <w:rsid w:val="00C242B9"/>
    <w:rsid w:val="00C3606B"/>
    <w:rsid w:val="00C37DF0"/>
    <w:rsid w:val="00C62A95"/>
    <w:rsid w:val="00C63A4C"/>
    <w:rsid w:val="00C73051"/>
    <w:rsid w:val="00C73A68"/>
    <w:rsid w:val="00C759BC"/>
    <w:rsid w:val="00C83246"/>
    <w:rsid w:val="00C84E1C"/>
    <w:rsid w:val="00CB1E34"/>
    <w:rsid w:val="00CB4C97"/>
    <w:rsid w:val="00CC3BB5"/>
    <w:rsid w:val="00CD00F8"/>
    <w:rsid w:val="00CD0F91"/>
    <w:rsid w:val="00CD1EE8"/>
    <w:rsid w:val="00CD2A9F"/>
    <w:rsid w:val="00CD452D"/>
    <w:rsid w:val="00CD56E3"/>
    <w:rsid w:val="00CE3EE8"/>
    <w:rsid w:val="00CF081A"/>
    <w:rsid w:val="00CF66D1"/>
    <w:rsid w:val="00D00C1F"/>
    <w:rsid w:val="00D052C5"/>
    <w:rsid w:val="00D06ABF"/>
    <w:rsid w:val="00D07136"/>
    <w:rsid w:val="00D07E3F"/>
    <w:rsid w:val="00D10219"/>
    <w:rsid w:val="00D102FE"/>
    <w:rsid w:val="00D11574"/>
    <w:rsid w:val="00D1199B"/>
    <w:rsid w:val="00D13DBC"/>
    <w:rsid w:val="00D16485"/>
    <w:rsid w:val="00D16FDE"/>
    <w:rsid w:val="00D22A06"/>
    <w:rsid w:val="00D24B72"/>
    <w:rsid w:val="00D25AA9"/>
    <w:rsid w:val="00D313A8"/>
    <w:rsid w:val="00D3159E"/>
    <w:rsid w:val="00D32CAE"/>
    <w:rsid w:val="00D332AF"/>
    <w:rsid w:val="00D36358"/>
    <w:rsid w:val="00D42181"/>
    <w:rsid w:val="00D4220B"/>
    <w:rsid w:val="00D45225"/>
    <w:rsid w:val="00D46F48"/>
    <w:rsid w:val="00D55FE3"/>
    <w:rsid w:val="00D61CC8"/>
    <w:rsid w:val="00D62BF6"/>
    <w:rsid w:val="00D7324F"/>
    <w:rsid w:val="00D7492A"/>
    <w:rsid w:val="00D76A64"/>
    <w:rsid w:val="00D77BA7"/>
    <w:rsid w:val="00D8030D"/>
    <w:rsid w:val="00D83609"/>
    <w:rsid w:val="00D87027"/>
    <w:rsid w:val="00D90E71"/>
    <w:rsid w:val="00D91B03"/>
    <w:rsid w:val="00D91BDB"/>
    <w:rsid w:val="00D91E1D"/>
    <w:rsid w:val="00D92CFE"/>
    <w:rsid w:val="00DA23DF"/>
    <w:rsid w:val="00DA4518"/>
    <w:rsid w:val="00DA59F4"/>
    <w:rsid w:val="00DB09D1"/>
    <w:rsid w:val="00DB5828"/>
    <w:rsid w:val="00DC088C"/>
    <w:rsid w:val="00DC212D"/>
    <w:rsid w:val="00DC2B0C"/>
    <w:rsid w:val="00DC676D"/>
    <w:rsid w:val="00DC7055"/>
    <w:rsid w:val="00DC791A"/>
    <w:rsid w:val="00DE1138"/>
    <w:rsid w:val="00DE11B0"/>
    <w:rsid w:val="00DE293A"/>
    <w:rsid w:val="00DE57BF"/>
    <w:rsid w:val="00DE602B"/>
    <w:rsid w:val="00DE608C"/>
    <w:rsid w:val="00DF3DF8"/>
    <w:rsid w:val="00E04988"/>
    <w:rsid w:val="00E051A0"/>
    <w:rsid w:val="00E125FC"/>
    <w:rsid w:val="00E12831"/>
    <w:rsid w:val="00E12EBE"/>
    <w:rsid w:val="00E137EF"/>
    <w:rsid w:val="00E13FA8"/>
    <w:rsid w:val="00E14F3D"/>
    <w:rsid w:val="00E15410"/>
    <w:rsid w:val="00E15CAF"/>
    <w:rsid w:val="00E17D0B"/>
    <w:rsid w:val="00E23124"/>
    <w:rsid w:val="00E311E4"/>
    <w:rsid w:val="00E31C65"/>
    <w:rsid w:val="00E31CD4"/>
    <w:rsid w:val="00E33098"/>
    <w:rsid w:val="00E40D98"/>
    <w:rsid w:val="00E412D7"/>
    <w:rsid w:val="00E42705"/>
    <w:rsid w:val="00E54D05"/>
    <w:rsid w:val="00E553BB"/>
    <w:rsid w:val="00E5740B"/>
    <w:rsid w:val="00E6285A"/>
    <w:rsid w:val="00E648AA"/>
    <w:rsid w:val="00E71520"/>
    <w:rsid w:val="00E77119"/>
    <w:rsid w:val="00E822EF"/>
    <w:rsid w:val="00E82ED1"/>
    <w:rsid w:val="00E82F93"/>
    <w:rsid w:val="00E832E7"/>
    <w:rsid w:val="00E8386A"/>
    <w:rsid w:val="00E84955"/>
    <w:rsid w:val="00E865B1"/>
    <w:rsid w:val="00EA2913"/>
    <w:rsid w:val="00EB069A"/>
    <w:rsid w:val="00EC69F0"/>
    <w:rsid w:val="00EC6C77"/>
    <w:rsid w:val="00ED5186"/>
    <w:rsid w:val="00ED58C3"/>
    <w:rsid w:val="00ED71E8"/>
    <w:rsid w:val="00EE3171"/>
    <w:rsid w:val="00EE5BD4"/>
    <w:rsid w:val="00EF0320"/>
    <w:rsid w:val="00EF620D"/>
    <w:rsid w:val="00F06C10"/>
    <w:rsid w:val="00F07071"/>
    <w:rsid w:val="00F11234"/>
    <w:rsid w:val="00F231E8"/>
    <w:rsid w:val="00F25BEB"/>
    <w:rsid w:val="00F2604F"/>
    <w:rsid w:val="00F268A8"/>
    <w:rsid w:val="00F26B9E"/>
    <w:rsid w:val="00F4370A"/>
    <w:rsid w:val="00F45488"/>
    <w:rsid w:val="00F527D6"/>
    <w:rsid w:val="00F62480"/>
    <w:rsid w:val="00F66202"/>
    <w:rsid w:val="00F70FC2"/>
    <w:rsid w:val="00F848FF"/>
    <w:rsid w:val="00F87A91"/>
    <w:rsid w:val="00F92C02"/>
    <w:rsid w:val="00F93A50"/>
    <w:rsid w:val="00F97811"/>
    <w:rsid w:val="00FA2B3B"/>
    <w:rsid w:val="00FA2D7F"/>
    <w:rsid w:val="00FB24DE"/>
    <w:rsid w:val="00FB4DD4"/>
    <w:rsid w:val="00FB609F"/>
    <w:rsid w:val="00FB7711"/>
    <w:rsid w:val="00FC1D5D"/>
    <w:rsid w:val="00FC37B2"/>
    <w:rsid w:val="00FC3BF9"/>
    <w:rsid w:val="00FC6C14"/>
    <w:rsid w:val="00FC702D"/>
    <w:rsid w:val="00FC7EFA"/>
    <w:rsid w:val="00FC7FDC"/>
    <w:rsid w:val="00FD7DC5"/>
    <w:rsid w:val="00FE0AB1"/>
    <w:rsid w:val="00FE2CC2"/>
    <w:rsid w:val="00FE39F3"/>
    <w:rsid w:val="00FE6AD0"/>
    <w:rsid w:val="00FE6F67"/>
    <w:rsid w:val="00FF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F974"/>
  <w15:docId w15:val="{F5C0B98E-8233-4E0D-825F-73BC7DAF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E0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86D"/>
    <w:rPr>
      <w:rFonts w:ascii="Segoe UI" w:hAnsi="Segoe UI" w:cs="Segoe UI"/>
      <w:sz w:val="18"/>
      <w:szCs w:val="18"/>
    </w:rPr>
  </w:style>
  <w:style w:type="paragraph" w:styleId="ListParagraph">
    <w:name w:val="List Paragraph"/>
    <w:basedOn w:val="Normal"/>
    <w:link w:val="ListParagraphChar"/>
    <w:uiPriority w:val="34"/>
    <w:qFormat/>
    <w:rsid w:val="007F1970"/>
    <w:pPr>
      <w:ind w:left="720"/>
      <w:contextualSpacing/>
    </w:pPr>
  </w:style>
  <w:style w:type="table" w:styleId="TableGrid">
    <w:name w:val="Table Grid"/>
    <w:basedOn w:val="TableNormal"/>
    <w:uiPriority w:val="39"/>
    <w:rsid w:val="0055272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link w:val="ListParagraph"/>
    <w:uiPriority w:val="34"/>
    <w:locked/>
    <w:rsid w:val="00B663CF"/>
  </w:style>
  <w:style w:type="paragraph" w:styleId="FootnoteText">
    <w:name w:val="footnote text"/>
    <w:basedOn w:val="Normal"/>
    <w:link w:val="FootnoteTextChar1"/>
    <w:uiPriority w:val="99"/>
    <w:unhideWhenUsed/>
    <w:rsid w:val="00E77119"/>
    <w:rPr>
      <w:sz w:val="20"/>
      <w:szCs w:val="20"/>
      <w:lang w:val="en-US" w:eastAsia="en-US"/>
    </w:rPr>
  </w:style>
  <w:style w:type="character" w:customStyle="1" w:styleId="FootnoteTextChar">
    <w:name w:val="Footnote Text Char"/>
    <w:basedOn w:val="DefaultParagraphFont"/>
    <w:uiPriority w:val="99"/>
    <w:semiHidden/>
    <w:rsid w:val="00E77119"/>
    <w:rPr>
      <w:sz w:val="20"/>
      <w:szCs w:val="20"/>
    </w:rPr>
  </w:style>
  <w:style w:type="character" w:customStyle="1" w:styleId="FootnoteTextChar1">
    <w:name w:val="Footnote Text Char1"/>
    <w:basedOn w:val="DefaultParagraphFont"/>
    <w:link w:val="FootnoteText"/>
    <w:uiPriority w:val="99"/>
    <w:rsid w:val="00E77119"/>
    <w:rPr>
      <w:sz w:val="20"/>
      <w:szCs w:val="20"/>
      <w:lang w:val="en-US" w:eastAsia="en-US"/>
    </w:rPr>
  </w:style>
  <w:style w:type="character" w:styleId="FootnoteReference">
    <w:name w:val="footnote reference"/>
    <w:basedOn w:val="DefaultParagraphFont"/>
    <w:unhideWhenUsed/>
    <w:rsid w:val="00E77119"/>
    <w:rPr>
      <w:vertAlign w:val="superscript"/>
    </w:rPr>
  </w:style>
  <w:style w:type="paragraph" w:customStyle="1" w:styleId="Default">
    <w:name w:val="Default"/>
    <w:rsid w:val="00D42181"/>
    <w:pPr>
      <w:autoSpaceDE w:val="0"/>
      <w:autoSpaceDN w:val="0"/>
      <w:adjustRightInd w:val="0"/>
    </w:pPr>
    <w:rPr>
      <w:color w:val="000000"/>
      <w:lang w:val="ru-RU"/>
    </w:rPr>
  </w:style>
  <w:style w:type="paragraph" w:styleId="CommentSubject">
    <w:name w:val="annotation subject"/>
    <w:basedOn w:val="CommentText"/>
    <w:next w:val="CommentText"/>
    <w:link w:val="CommentSubjectChar"/>
    <w:uiPriority w:val="99"/>
    <w:semiHidden/>
    <w:unhideWhenUsed/>
    <w:rsid w:val="006703A2"/>
    <w:rPr>
      <w:b/>
      <w:bCs/>
    </w:rPr>
  </w:style>
  <w:style w:type="character" w:customStyle="1" w:styleId="CommentSubjectChar">
    <w:name w:val="Comment Subject Char"/>
    <w:basedOn w:val="CommentTextChar"/>
    <w:link w:val="CommentSubject"/>
    <w:uiPriority w:val="99"/>
    <w:semiHidden/>
    <w:rsid w:val="006703A2"/>
    <w:rPr>
      <w:b/>
      <w:bCs/>
      <w:sz w:val="20"/>
      <w:szCs w:val="20"/>
    </w:rPr>
  </w:style>
  <w:style w:type="character" w:styleId="Hyperlink">
    <w:name w:val="Hyperlink"/>
    <w:basedOn w:val="DefaultParagraphFont"/>
    <w:uiPriority w:val="99"/>
    <w:unhideWhenUsed/>
    <w:rsid w:val="00232956"/>
    <w:rPr>
      <w:color w:val="0000FF" w:themeColor="hyperlink"/>
      <w:u w:val="single"/>
    </w:rPr>
  </w:style>
  <w:style w:type="paragraph" w:styleId="NormalWeb">
    <w:name w:val="Normal (Web)"/>
    <w:basedOn w:val="Normal"/>
    <w:uiPriority w:val="99"/>
    <w:unhideWhenUsed/>
    <w:rsid w:val="00C242B9"/>
    <w:pPr>
      <w:ind w:firstLine="567"/>
      <w:jc w:val="both"/>
    </w:pPr>
    <w:rPr>
      <w:rFonts w:eastAsiaTheme="minorEastAsia"/>
      <w:lang w:eastAsia="ro-RO"/>
    </w:rPr>
  </w:style>
  <w:style w:type="paragraph" w:styleId="Revision">
    <w:name w:val="Revision"/>
    <w:hidden/>
    <w:uiPriority w:val="99"/>
    <w:semiHidden/>
    <w:rsid w:val="00D46F48"/>
  </w:style>
  <w:style w:type="paragraph" w:styleId="NoSpacing">
    <w:name w:val="No Spacing"/>
    <w:link w:val="NoSpacingChar"/>
    <w:uiPriority w:val="1"/>
    <w:qFormat/>
    <w:rsid w:val="00381109"/>
    <w:pPr>
      <w:ind w:firstLine="720"/>
      <w:jc w:val="both"/>
    </w:pPr>
    <w:rPr>
      <w:lang w:val="ru-RU" w:eastAsia="en-US"/>
    </w:rPr>
  </w:style>
  <w:style w:type="character" w:customStyle="1" w:styleId="NoSpacingChar">
    <w:name w:val="No Spacing Char"/>
    <w:link w:val="NoSpacing"/>
    <w:uiPriority w:val="1"/>
    <w:locked/>
    <w:rsid w:val="00381109"/>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31563">
      <w:bodyDiv w:val="1"/>
      <w:marLeft w:val="0"/>
      <w:marRight w:val="0"/>
      <w:marTop w:val="0"/>
      <w:marBottom w:val="0"/>
      <w:divBdr>
        <w:top w:val="none" w:sz="0" w:space="0" w:color="auto"/>
        <w:left w:val="none" w:sz="0" w:space="0" w:color="auto"/>
        <w:bottom w:val="none" w:sz="0" w:space="0" w:color="auto"/>
        <w:right w:val="none" w:sz="0" w:space="0" w:color="auto"/>
      </w:divBdr>
    </w:div>
    <w:div w:id="860823786">
      <w:bodyDiv w:val="1"/>
      <w:marLeft w:val="0"/>
      <w:marRight w:val="0"/>
      <w:marTop w:val="0"/>
      <w:marBottom w:val="0"/>
      <w:divBdr>
        <w:top w:val="none" w:sz="0" w:space="0" w:color="auto"/>
        <w:left w:val="none" w:sz="0" w:space="0" w:color="auto"/>
        <w:bottom w:val="none" w:sz="0" w:space="0" w:color="auto"/>
        <w:right w:val="none" w:sz="0" w:space="0" w:color="auto"/>
      </w:divBdr>
    </w:div>
    <w:div w:id="908729932">
      <w:bodyDiv w:val="1"/>
      <w:marLeft w:val="0"/>
      <w:marRight w:val="0"/>
      <w:marTop w:val="0"/>
      <w:marBottom w:val="0"/>
      <w:divBdr>
        <w:top w:val="none" w:sz="0" w:space="0" w:color="auto"/>
        <w:left w:val="none" w:sz="0" w:space="0" w:color="auto"/>
        <w:bottom w:val="none" w:sz="0" w:space="0" w:color="auto"/>
        <w:right w:val="none" w:sz="0" w:space="0" w:color="auto"/>
      </w:divBdr>
    </w:div>
    <w:div w:id="1517384715">
      <w:bodyDiv w:val="1"/>
      <w:marLeft w:val="0"/>
      <w:marRight w:val="0"/>
      <w:marTop w:val="0"/>
      <w:marBottom w:val="0"/>
      <w:divBdr>
        <w:top w:val="none" w:sz="0" w:space="0" w:color="auto"/>
        <w:left w:val="none" w:sz="0" w:space="0" w:color="auto"/>
        <w:bottom w:val="none" w:sz="0" w:space="0" w:color="auto"/>
        <w:right w:val="none" w:sz="0" w:space="0" w:color="auto"/>
      </w:divBdr>
    </w:div>
    <w:div w:id="2112972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otofana@anre.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nre.md" TargetMode="External"/><Relationship Id="rId4" Type="http://schemas.openxmlformats.org/officeDocument/2006/relationships/settings" Target="settings.xml"/><Relationship Id="rId9" Type="http://schemas.openxmlformats.org/officeDocument/2006/relationships/hyperlink" Target="http://www.anre.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cxvgJyzo9HxU8+qb/akKRJ90kA==">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4438</Words>
  <Characters>25299</Characters>
  <Application>Microsoft Office Word</Application>
  <DocSecurity>0</DocSecurity>
  <Lines>210</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c:creator>
  <cp:lastModifiedBy>Valerii Zinatullin</cp:lastModifiedBy>
  <cp:revision>7</cp:revision>
  <cp:lastPrinted>2020-05-20T10:39:00Z</cp:lastPrinted>
  <dcterms:created xsi:type="dcterms:W3CDTF">2020-07-02T05:41:00Z</dcterms:created>
  <dcterms:modified xsi:type="dcterms:W3CDTF">2020-07-21T06:08:00Z</dcterms:modified>
</cp:coreProperties>
</file>